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B1C2B">
      <w:pPr>
        <w:rPr>
          <w:rFonts w:hint="eastAsia" w:ascii="黑体" w:hAnsi="华文仿宋" w:eastAsia="黑体"/>
          <w:sz w:val="32"/>
          <w:szCs w:val="32"/>
        </w:rPr>
      </w:pPr>
      <w:r>
        <w:rPr>
          <w:rFonts w:hint="eastAsia" w:ascii="黑体" w:hAnsi="华文仿宋" w:eastAsia="黑体"/>
          <w:sz w:val="32"/>
          <w:szCs w:val="32"/>
        </w:rPr>
        <w:t>附件</w:t>
      </w:r>
    </w:p>
    <w:p w14:paraId="14AE1A54">
      <w:pPr>
        <w:spacing w:before="156" w:beforeLines="50" w:after="156" w:afterLines="50" w:line="440" w:lineRule="exact"/>
        <w:jc w:val="center"/>
        <w:rPr>
          <w:rFonts w:hint="eastAsia" w:ascii="方正小标宋简体" w:hAnsi="Times New Roman" w:eastAsia="方正小标宋简体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肌苷注射剂说明书修订</w:t>
      </w:r>
      <w:r>
        <w:rPr>
          <w:rFonts w:hint="eastAsia" w:ascii="方正小标宋简体" w:hAnsi="Times New Roman" w:eastAsia="方正小标宋简体"/>
          <w:sz w:val="44"/>
          <w:szCs w:val="44"/>
          <w:lang w:eastAsia="zh-CN"/>
        </w:rPr>
        <w:t>要求</w:t>
      </w:r>
    </w:p>
    <w:p w14:paraId="6E97690F">
      <w:pPr>
        <w:spacing w:before="156" w:beforeLines="50" w:after="156" w:afterLines="50" w:line="440" w:lineRule="exact"/>
        <w:jc w:val="center"/>
        <w:rPr>
          <w:rFonts w:hint="eastAsia" w:ascii="方正小标宋简体" w:hAnsi="Times New Roman" w:eastAsia="方正小标宋简体"/>
          <w:sz w:val="44"/>
          <w:szCs w:val="44"/>
          <w:lang w:eastAsia="zh-CN"/>
        </w:rPr>
      </w:pPr>
    </w:p>
    <w:p w14:paraId="2EF177B6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注：本次修订包括</w:t>
      </w:r>
      <w:bookmarkStart w:id="0" w:name="OLE_LINK12"/>
      <w:bookmarkStart w:id="1" w:name="OLE_LINK11"/>
      <w:r>
        <w:rPr>
          <w:rFonts w:hint="eastAsia" w:ascii="仿宋_GB2312" w:hAnsi="仿宋_GB2312" w:eastAsia="仿宋_GB2312" w:cs="仿宋_GB2312"/>
          <w:sz w:val="32"/>
          <w:szCs w:val="32"/>
        </w:rPr>
        <w:t>肌苷注射液、注射用肌苷、肌苷氯化钠注射液、肌苷葡萄糖注射液、肌苷注射液（静注）、肌苷注射液（肌注）。</w:t>
      </w:r>
      <w:bookmarkEnd w:id="0"/>
      <w:bookmarkEnd w:id="1"/>
    </w:p>
    <w:p w14:paraId="43324BD3">
      <w:pPr>
        <w:spacing w:line="440" w:lineRule="exact"/>
        <w:ind w:firstLine="640" w:firstLineChars="200"/>
        <w:rPr>
          <w:rFonts w:ascii="Calibri" w:hAnsi="Calibri" w:eastAsia="黑体" w:cs="Times New Roman"/>
          <w:sz w:val="32"/>
          <w:szCs w:val="32"/>
        </w:rPr>
      </w:pPr>
      <w:r>
        <w:rPr>
          <w:rFonts w:hint="eastAsia" w:ascii="Calibri" w:hAnsi="Calibri" w:eastAsia="黑体" w:cs="Times New Roman"/>
          <w:sz w:val="32"/>
          <w:szCs w:val="32"/>
        </w:rPr>
        <w:t>一、【不良反应】项下应包括：</w:t>
      </w:r>
    </w:p>
    <w:p w14:paraId="52E2E8A7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上市后监测到肌苷注射制剂以下药品不良反应/事件（这些不良反应/事件来自于无法确定样本量的自发报告，难以准确估计其发生频率）：</w:t>
      </w:r>
    </w:p>
    <w:p w14:paraId="49C3CE85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全身性疾病及给药部位各种反应：畏寒、寒战、发热、高热、胸闷、胸痛、乏力、疼痛、不适、肿胀、水肿、注射部位疼痛。</w:t>
      </w:r>
    </w:p>
    <w:p w14:paraId="64111754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胃肠系统疾病：恶心、呕吐、腹痛、腹胀、腹泻、腹部不适、口干。</w:t>
      </w:r>
    </w:p>
    <w:p w14:paraId="3912DCAD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皮肤及皮下组织类疾病：皮疹（荨麻疹、斑丘疹、丘疹）、瘙痒、红斑、皮肤发红、皮肤变色、多汗。</w:t>
      </w:r>
    </w:p>
    <w:p w14:paraId="6F0E0CEE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血管与淋巴管类疾病：潮红、苍白、发绀、静脉炎、血压升高、血压下降。</w:t>
      </w:r>
    </w:p>
    <w:p w14:paraId="4132C722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各类神经系统疾病：头晕、头痛、震颤、麻木。 </w:t>
      </w:r>
    </w:p>
    <w:p w14:paraId="2F9DEC4C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心脏器官疾病：心悸、心动过速、心律失常。</w:t>
      </w:r>
    </w:p>
    <w:p w14:paraId="6A7F71D8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呼吸系统、胸及纵隔疾病：呼吸急促、呼吸困难、窒息感、咳嗽、哮喘。</w:t>
      </w:r>
    </w:p>
    <w:p w14:paraId="26F05F8E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免疫系统疾病：超敏反应、类过敏反应、过敏性休克。</w:t>
      </w:r>
    </w:p>
    <w:p w14:paraId="2DB47066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各类损伤、中毒及操作并发症：输液相关反应。</w:t>
      </w:r>
    </w:p>
    <w:p w14:paraId="089C636E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精神病类：抽搐、烦躁不安、精神障碍。</w:t>
      </w:r>
    </w:p>
    <w:p w14:paraId="73767291">
      <w:pPr>
        <w:spacing w:line="440" w:lineRule="exact"/>
        <w:ind w:left="630" w:leftChars="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各种肌肉骨骼及结缔组织疾病：背痛、肌痛。</w:t>
      </w:r>
    </w:p>
    <w:p w14:paraId="6D184E36">
      <w:pPr>
        <w:spacing w:line="440" w:lineRule="exact"/>
        <w:ind w:firstLine="640" w:firstLineChars="200"/>
        <w:rPr>
          <w:rFonts w:ascii="Calibri" w:hAnsi="Calibri" w:eastAsia="黑体" w:cs="Times New Roman"/>
          <w:sz w:val="32"/>
          <w:szCs w:val="32"/>
        </w:rPr>
      </w:pPr>
      <w:bookmarkStart w:id="2" w:name="OLE_LINK324"/>
      <w:bookmarkStart w:id="3" w:name="OLE_LINK325"/>
      <w:r>
        <w:rPr>
          <w:rFonts w:hint="eastAsia" w:ascii="Calibri" w:hAnsi="Calibri" w:eastAsia="黑体" w:cs="Times New Roman"/>
          <w:sz w:val="32"/>
          <w:szCs w:val="32"/>
        </w:rPr>
        <w:t>二、【禁忌】项下应包括：</w:t>
      </w:r>
    </w:p>
    <w:p w14:paraId="139A512F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对本品过敏者禁用。</w:t>
      </w:r>
    </w:p>
    <w:bookmarkEnd w:id="2"/>
    <w:bookmarkEnd w:id="3"/>
    <w:p w14:paraId="7E0A7E85">
      <w:pPr>
        <w:spacing w:line="440" w:lineRule="exact"/>
        <w:ind w:firstLine="640" w:firstLineChars="200"/>
        <w:rPr>
          <w:rFonts w:ascii="Calibri" w:hAnsi="Calibri" w:eastAsia="黑体" w:cs="Times New Roman"/>
          <w:sz w:val="32"/>
          <w:szCs w:val="32"/>
        </w:rPr>
      </w:pPr>
      <w:r>
        <w:rPr>
          <w:rFonts w:hint="eastAsia" w:ascii="Calibri" w:hAnsi="Calibri" w:eastAsia="黑体" w:cs="Times New Roman"/>
          <w:sz w:val="32"/>
          <w:szCs w:val="32"/>
        </w:rPr>
        <w:t>三、【注意事项】项下应包括：</w:t>
      </w:r>
    </w:p>
    <w:p w14:paraId="31598B1F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本品静脉滴注有引起心脏骤停和过敏性休克死亡的报道，建议应用时缓慢滴注并严密观察生命指征变化及过敏反应。</w:t>
      </w:r>
    </w:p>
    <w:p w14:paraId="6FCE1751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市后监测到本制剂可导致过敏反应，包括过敏性休克的严重病例报告，用药前应仔细询问患者用药史和过敏史，用药过程中注意观察，一旦出现皮疹、瘙痒、呼吸困难、血压下降等症状和体征，应当立即停药并及时治疗。</w:t>
      </w:r>
    </w:p>
    <w:p w14:paraId="5C555958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使用前应详细检查，如有下列情况之一者，切勿使用：①药液混浊或变色。②瓶身或瓶口有细微破裂。③有棉絮状菌丝团。④封口松动。</w:t>
      </w:r>
    </w:p>
    <w:p w14:paraId="0AF2817D">
      <w:pPr>
        <w:spacing w:line="440" w:lineRule="exact"/>
        <w:ind w:firstLine="640" w:firstLineChars="200"/>
        <w:rPr>
          <w:rFonts w:ascii="Calibri" w:hAnsi="Calibri" w:eastAsia="黑体" w:cs="Times New Roman"/>
          <w:sz w:val="32"/>
          <w:szCs w:val="32"/>
        </w:rPr>
      </w:pPr>
      <w:r>
        <w:rPr>
          <w:rFonts w:hint="eastAsia" w:ascii="Calibri" w:hAnsi="Calibri" w:eastAsia="黑体" w:cs="Times New Roman"/>
          <w:sz w:val="32"/>
          <w:szCs w:val="32"/>
        </w:rPr>
        <w:t xml:space="preserve">四、【药物相互作用】项下应包括： </w:t>
      </w:r>
    </w:p>
    <w:p w14:paraId="44A43477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本品禁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与下列注射液配伍：乳清酸、氯霉素，双嘧达莫、盐酸山梗菜碱、硫酸阿托品、氢溴酸东莨菪碱、盐酸氯丙嗪、盐酸异丙嗪、马来酸麦角新碱、盐酸普鲁卡因、硫喷妥钠、苯妥英钠、氯氮卓、盐酸去甲肾上腺素、盐酸丁卡因、利血平、硝普钠、降压嗪、呋噻米、利尿酸钠、促皮质素、维生素B12、盐酸苯海拉明、马来酸氯苯那敏、细胞色素C、盐酸万古霉素、盐酸四环素、二盐酸奎宁、盐酸阿糖胞苷、硫酸长春新碱以及所有菌苗和疫苗。盐酸多巴胺、止血敏和维生素C注射液应先稀释后再与本品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合。</w:t>
      </w:r>
    </w:p>
    <w:p w14:paraId="63E34731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2E85A64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de-DE"/>
        </w:rPr>
        <w:t>（注：如原批准说明书的安全性内容较本修订要求内容更全面或更严格的，应保留原批准内容。说明书其他内容如与上述修订要求不一致的，应当一并进行修订。）</w:t>
      </w:r>
    </w:p>
    <w:p w14:paraId="3AA89177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82190"/>
    <w:rsid w:val="4EF8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2026-09-04T08:30:00Z</dcterms:created>
  <dc:creator>YU</dc:creator>
  <cp:lastModifiedBy>YU</cp:lastModifiedBy>
  <dcterms:modified xsi:type="dcterms:W3CDTF">2026-09-04T08:30:31Z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175CB705336649E8AB36BADECE041098_11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