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43FC2">
      <w:pPr>
        <w:keepNext w:val="0"/>
        <w:keepLines w:val="0"/>
        <w:pageBreakBefore w:val="0"/>
        <w:widowControl/>
        <w:kinsoku/>
        <w:wordWrap/>
        <w:overflowPunct/>
        <w:topLinePunct w:val="0"/>
        <w:autoSpaceDE/>
        <w:autoSpaceDN/>
        <w:bidi w:val="0"/>
        <w:adjustRightInd/>
        <w:snapToGrid/>
        <w:spacing w:before="0" w:after="0" w:line="560" w:lineRule="exact"/>
        <w:jc w:val="left"/>
        <w:textAlignment w:val="auto"/>
      </w:pPr>
      <w:r>
        <w:rPr>
          <w:rFonts w:ascii="Times New Roman" w:hAnsi="Times New Roman" w:eastAsia="黑体"/>
          <w:b w:val="0"/>
          <w:sz w:val="32"/>
        </w:rPr>
        <w:t>附件1</w:t>
      </w:r>
    </w:p>
    <w:p w14:paraId="6670235C">
      <w:pPr>
        <w:keepNext w:val="0"/>
        <w:keepLines w:val="0"/>
        <w:pageBreakBefore w:val="0"/>
        <w:widowControl w:val="0"/>
        <w:suppressAutoHyphens/>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color w:val="auto"/>
          <w:kern w:val="2"/>
          <w:sz w:val="44"/>
          <w:szCs w:val="44"/>
          <w:lang w:eastAsia="zh-CN"/>
        </w:rPr>
      </w:pPr>
      <w:r>
        <w:rPr>
          <w:rFonts w:hint="eastAsia" w:ascii="方正小标宋_GBK" w:hAnsi="方正小标宋_GBK" w:eastAsia="方正小标宋_GBK" w:cs="方正小标宋_GBK"/>
          <w:color w:val="auto"/>
          <w:kern w:val="2"/>
          <w:sz w:val="44"/>
          <w:szCs w:val="44"/>
          <w:lang w:eastAsia="zh-CN"/>
        </w:rPr>
        <w:t>河北省药物临床试验主体责任清单</w:t>
      </w:r>
    </w:p>
    <w:p w14:paraId="3EC71CAA">
      <w:pPr>
        <w:keepNext w:val="0"/>
        <w:keepLines w:val="0"/>
        <w:pageBreakBefore w:val="0"/>
        <w:widowControl w:val="0"/>
        <w:suppressAutoHyphens/>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auto"/>
          <w:kern w:val="2"/>
          <w:sz w:val="44"/>
          <w:szCs w:val="44"/>
          <w:lang w:eastAsia="zh-CN"/>
        </w:rPr>
        <w:t>（征求意见稿）</w:t>
      </w:r>
    </w:p>
    <w:p w14:paraId="471EC711">
      <w:pPr>
        <w:keepNext w:val="0"/>
        <w:keepLines w:val="0"/>
        <w:pageBreakBefore w:val="0"/>
        <w:widowControl/>
        <w:suppressLineNumbers w:val="0"/>
        <w:suppressAutoHyphens/>
        <w:kinsoku/>
        <w:wordWrap/>
        <w:overflowPunct/>
        <w:topLinePunct w:val="0"/>
        <w:autoSpaceDE/>
        <w:autoSpaceDN/>
        <w:bidi w:val="0"/>
        <w:adjustRightInd/>
        <w:snapToGrid/>
        <w:spacing w:after="0" w:line="560" w:lineRule="exact"/>
        <w:jc w:val="center"/>
        <w:textAlignment w:val="center"/>
        <w:rPr>
          <w:rFonts w:hint="eastAsia" w:ascii="黑体" w:hAnsi="黑体" w:eastAsia="黑体" w:cs="黑体"/>
          <w:b w:val="0"/>
          <w:bCs w:val="0"/>
        </w:rPr>
      </w:pPr>
      <w:r>
        <w:rPr>
          <w:rFonts w:hint="eastAsia" w:ascii="黑体" w:hAnsi="黑体" w:eastAsia="黑体" w:cs="黑体"/>
          <w:b w:val="0"/>
          <w:bCs w:val="0"/>
          <w:i w:val="0"/>
          <w:color w:val="000000"/>
          <w:kern w:val="0"/>
          <w:sz w:val="32"/>
          <w:szCs w:val="32"/>
          <w:u w:val="none"/>
          <w:lang w:val="en-US" w:eastAsia="zh-CN" w:bidi="ar"/>
        </w:rPr>
        <w:t>表1：药物临</w:t>
      </w:r>
      <w:bookmarkStart w:id="0" w:name="_GoBack"/>
      <w:bookmarkEnd w:id="0"/>
      <w:r>
        <w:rPr>
          <w:rFonts w:hint="eastAsia" w:ascii="黑体" w:hAnsi="黑体" w:eastAsia="黑体" w:cs="黑体"/>
          <w:b w:val="0"/>
          <w:bCs w:val="0"/>
          <w:i w:val="0"/>
          <w:color w:val="000000"/>
          <w:kern w:val="0"/>
          <w:sz w:val="32"/>
          <w:szCs w:val="32"/>
          <w:u w:val="none"/>
          <w:lang w:val="en-US" w:eastAsia="zh-CN" w:bidi="ar"/>
        </w:rPr>
        <w:t>床试验机构主体责任清单</w:t>
      </w:r>
    </w:p>
    <w:tbl>
      <w:tblPr>
        <w:tblStyle w:val="33"/>
        <w:tblW w:w="14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680"/>
        <w:gridCol w:w="8164"/>
        <w:gridCol w:w="3685"/>
      </w:tblGrid>
      <w:tr w14:paraId="5D30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tcMar>
              <w:top w:w="108" w:type="dxa"/>
              <w:left w:w="108" w:type="dxa"/>
              <w:bottom w:w="108" w:type="dxa"/>
              <w:right w:w="108" w:type="dxa"/>
            </w:tcMar>
            <w:vAlign w:val="center"/>
          </w:tcPr>
          <w:p w14:paraId="255A6AB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项目</w:t>
            </w:r>
          </w:p>
        </w:tc>
        <w:tc>
          <w:tcPr>
            <w:tcW w:w="680" w:type="dxa"/>
            <w:tcMar>
              <w:top w:w="108" w:type="dxa"/>
              <w:left w:w="108" w:type="dxa"/>
              <w:bottom w:w="108" w:type="dxa"/>
              <w:right w:w="108" w:type="dxa"/>
            </w:tcMar>
            <w:vAlign w:val="center"/>
          </w:tcPr>
          <w:p w14:paraId="698D7D7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序号</w:t>
            </w:r>
          </w:p>
        </w:tc>
        <w:tc>
          <w:tcPr>
            <w:tcW w:w="8164" w:type="dxa"/>
            <w:tcMar>
              <w:top w:w="108" w:type="dxa"/>
              <w:left w:w="108" w:type="dxa"/>
              <w:bottom w:w="108" w:type="dxa"/>
              <w:right w:w="108" w:type="dxa"/>
            </w:tcMar>
            <w:vAlign w:val="center"/>
          </w:tcPr>
          <w:p w14:paraId="783C638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主体责任</w:t>
            </w:r>
          </w:p>
        </w:tc>
        <w:tc>
          <w:tcPr>
            <w:tcW w:w="3685" w:type="dxa"/>
            <w:tcMar>
              <w:top w:w="108" w:type="dxa"/>
              <w:left w:w="108" w:type="dxa"/>
              <w:bottom w:w="108" w:type="dxa"/>
              <w:right w:w="108" w:type="dxa"/>
            </w:tcMar>
            <w:vAlign w:val="center"/>
          </w:tcPr>
          <w:p w14:paraId="3D2EC5B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责任依据</w:t>
            </w:r>
          </w:p>
        </w:tc>
      </w:tr>
      <w:tr w14:paraId="4155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28733EA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资质备案管理</w:t>
            </w:r>
          </w:p>
        </w:tc>
        <w:tc>
          <w:tcPr>
            <w:tcW w:w="680" w:type="dxa"/>
            <w:tcMar>
              <w:top w:w="108" w:type="dxa"/>
              <w:left w:w="108" w:type="dxa"/>
              <w:bottom w:w="108" w:type="dxa"/>
              <w:right w:w="108" w:type="dxa"/>
            </w:tcMar>
            <w:vAlign w:val="center"/>
          </w:tcPr>
          <w:p w14:paraId="61B2FF6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w:t>
            </w:r>
          </w:p>
        </w:tc>
        <w:tc>
          <w:tcPr>
            <w:tcW w:w="8164" w:type="dxa"/>
            <w:tcMar>
              <w:top w:w="28" w:type="dxa"/>
              <w:left w:w="108" w:type="dxa"/>
              <w:bottom w:w="28" w:type="dxa"/>
              <w:right w:w="108" w:type="dxa"/>
            </w:tcMar>
            <w:vAlign w:val="center"/>
          </w:tcPr>
          <w:p w14:paraId="45D72589">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开展以药品注册为目的的药物临床试验，应当经备案，取得药物临床试验机构备案号；未经备案的机构不得开展药物临床试验；备案专业范围应当与机构实际条件相适应，不得超出备案范围开展药物临床试验。</w:t>
            </w:r>
          </w:p>
        </w:tc>
        <w:tc>
          <w:tcPr>
            <w:tcW w:w="3685" w:type="dxa"/>
            <w:tcMar>
              <w:top w:w="28" w:type="dxa"/>
              <w:left w:w="108" w:type="dxa"/>
              <w:bottom w:w="28" w:type="dxa"/>
              <w:right w:w="108" w:type="dxa"/>
            </w:tcMar>
            <w:vAlign w:val="center"/>
          </w:tcPr>
          <w:p w14:paraId="2EC1898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《药品管理法》第十九条；《药物临床试验机构管理规定》第七条、第八条</w:t>
            </w:r>
          </w:p>
        </w:tc>
      </w:tr>
      <w:tr w14:paraId="757A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EEF4C7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242BB3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w:t>
            </w:r>
          </w:p>
        </w:tc>
        <w:tc>
          <w:tcPr>
            <w:tcW w:w="8164" w:type="dxa"/>
            <w:tcMar>
              <w:top w:w="28" w:type="dxa"/>
              <w:left w:w="108" w:type="dxa"/>
              <w:bottom w:w="28" w:type="dxa"/>
              <w:right w:w="108" w:type="dxa"/>
            </w:tcMar>
            <w:vAlign w:val="center"/>
          </w:tcPr>
          <w:p w14:paraId="7BCA1A75">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持续符合药物临床试验机构备案的基本条件：具有医疗机构执业许可证，具有与开展药物临床试验相适应的诊疗技术能力，设立独立的药物临床试验管理部门、伦理委员会，具有与开展药物临床试验相适应的医技护人员、设施设备和组织管理能力，具有防范和处理药物临床试验中突发事件的管理机制和措施。</w:t>
            </w:r>
          </w:p>
        </w:tc>
        <w:tc>
          <w:tcPr>
            <w:tcW w:w="3685" w:type="dxa"/>
            <w:tcMar>
              <w:top w:w="28" w:type="dxa"/>
              <w:left w:w="108" w:type="dxa"/>
              <w:bottom w:w="28" w:type="dxa"/>
              <w:right w:w="108" w:type="dxa"/>
            </w:tcMar>
            <w:vAlign w:val="center"/>
          </w:tcPr>
          <w:p w14:paraId="3B0D310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《药物临床试验机构管理规定》第五条</w:t>
            </w:r>
          </w:p>
        </w:tc>
      </w:tr>
      <w:tr w14:paraId="166C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86" w:type="dxa"/>
            <w:vMerge w:val="continue"/>
            <w:tcMar>
              <w:top w:w="108" w:type="dxa"/>
              <w:left w:w="108" w:type="dxa"/>
              <w:bottom w:w="108" w:type="dxa"/>
              <w:right w:w="108" w:type="dxa"/>
            </w:tcMar>
            <w:vAlign w:val="center"/>
          </w:tcPr>
          <w:p w14:paraId="6BE9CF2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AB7651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w:t>
            </w:r>
          </w:p>
        </w:tc>
        <w:tc>
          <w:tcPr>
            <w:tcW w:w="8164" w:type="dxa"/>
            <w:tcMar>
              <w:top w:w="28" w:type="dxa"/>
              <w:left w:w="108" w:type="dxa"/>
              <w:bottom w:w="28" w:type="dxa"/>
              <w:right w:w="108" w:type="dxa"/>
            </w:tcMar>
            <w:vAlign w:val="center"/>
          </w:tcPr>
          <w:p w14:paraId="1C3D440E">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应当自行或者聘请第三方对机构及专业的技术水平、设施条件及特点进行评估，评估符合要求后方可备案；备案信息应当真实、准确、完整。</w:t>
            </w:r>
          </w:p>
        </w:tc>
        <w:tc>
          <w:tcPr>
            <w:tcW w:w="3685" w:type="dxa"/>
            <w:tcMar>
              <w:top w:w="28" w:type="dxa"/>
              <w:left w:w="108" w:type="dxa"/>
              <w:bottom w:w="28" w:type="dxa"/>
              <w:right w:w="108" w:type="dxa"/>
            </w:tcMar>
            <w:vAlign w:val="center"/>
          </w:tcPr>
          <w:p w14:paraId="41EC2D4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《药物临床试验机构管理规定》第七条、第八条</w:t>
            </w:r>
          </w:p>
        </w:tc>
      </w:tr>
      <w:tr w14:paraId="4BAE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3D62BA4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393AEA9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4</w:t>
            </w:r>
          </w:p>
        </w:tc>
        <w:tc>
          <w:tcPr>
            <w:tcW w:w="8164" w:type="dxa"/>
            <w:tcMar>
              <w:top w:w="28" w:type="dxa"/>
              <w:left w:w="108" w:type="dxa"/>
              <w:bottom w:w="28" w:type="dxa"/>
              <w:right w:w="108" w:type="dxa"/>
            </w:tcMar>
            <w:vAlign w:val="center"/>
          </w:tcPr>
          <w:p w14:paraId="3E25E1CF">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机构名称、地址、级别、负责人员、伦理委员会和主要研究者等备案信息发生变化的，应当于5个工作日内在备案平台中按要求填写并提交变更情况。</w:t>
            </w:r>
          </w:p>
        </w:tc>
        <w:tc>
          <w:tcPr>
            <w:tcW w:w="3685" w:type="dxa"/>
            <w:tcMar>
              <w:top w:w="28" w:type="dxa"/>
              <w:left w:w="108" w:type="dxa"/>
              <w:bottom w:w="28" w:type="dxa"/>
              <w:right w:w="108" w:type="dxa"/>
            </w:tcMar>
            <w:vAlign w:val="center"/>
          </w:tcPr>
          <w:p w14:paraId="37BCF66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《药物临床试验机构管理规定》第十条</w:t>
            </w:r>
          </w:p>
        </w:tc>
      </w:tr>
      <w:tr w14:paraId="2E75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5FFBB4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685973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5</w:t>
            </w:r>
          </w:p>
        </w:tc>
        <w:tc>
          <w:tcPr>
            <w:tcW w:w="8164" w:type="dxa"/>
            <w:tcMar>
              <w:top w:w="28" w:type="dxa"/>
              <w:left w:w="108" w:type="dxa"/>
              <w:bottom w:w="28" w:type="dxa"/>
              <w:right w:w="108" w:type="dxa"/>
            </w:tcMar>
            <w:vAlign w:val="center"/>
          </w:tcPr>
          <w:p w14:paraId="72F3EAEF">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已备案机构不再符合备案条件的，应当主动整改；办理备案时不得提供虚假证明文件。提供虚假证明文件的，取消相关专业备案或者机构备案，没收违法所得，并处罚款，相关临床试验数据不得用于申请药品注册。</w:t>
            </w:r>
          </w:p>
        </w:tc>
        <w:tc>
          <w:tcPr>
            <w:tcW w:w="3685" w:type="dxa"/>
            <w:tcMar>
              <w:top w:w="28" w:type="dxa"/>
              <w:left w:w="108" w:type="dxa"/>
              <w:bottom w:w="28" w:type="dxa"/>
              <w:right w:w="108" w:type="dxa"/>
            </w:tcMar>
            <w:vAlign w:val="center"/>
          </w:tcPr>
          <w:p w14:paraId="3CCE6E7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《药品管理法实施条例》第八十三条</w:t>
            </w:r>
          </w:p>
        </w:tc>
      </w:tr>
      <w:tr w14:paraId="52AC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519452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0ADCE5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6</w:t>
            </w:r>
          </w:p>
        </w:tc>
        <w:tc>
          <w:tcPr>
            <w:tcW w:w="8164" w:type="dxa"/>
            <w:tcMar>
              <w:top w:w="28" w:type="dxa"/>
              <w:left w:w="108" w:type="dxa"/>
              <w:bottom w:w="28" w:type="dxa"/>
              <w:right w:w="108" w:type="dxa"/>
            </w:tcMar>
            <w:vAlign w:val="center"/>
          </w:tcPr>
          <w:p w14:paraId="3FBD6F77">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应当于每年1月31日前在药物临床试验机构备案管理信息平台填报上一年度开展药物临床试验情况的总结报告。</w:t>
            </w:r>
          </w:p>
        </w:tc>
        <w:tc>
          <w:tcPr>
            <w:tcW w:w="3685" w:type="dxa"/>
            <w:tcMar>
              <w:top w:w="28" w:type="dxa"/>
              <w:left w:w="108" w:type="dxa"/>
              <w:bottom w:w="28" w:type="dxa"/>
              <w:right w:w="108" w:type="dxa"/>
            </w:tcMar>
            <w:vAlign w:val="center"/>
          </w:tcPr>
          <w:p w14:paraId="2607346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《药物临床试验机构管理规定》第十六条</w:t>
            </w:r>
          </w:p>
        </w:tc>
      </w:tr>
      <w:tr w14:paraId="0089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6BFA19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9A3FF2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7</w:t>
            </w:r>
          </w:p>
        </w:tc>
        <w:tc>
          <w:tcPr>
            <w:tcW w:w="8164" w:type="dxa"/>
            <w:tcMar>
              <w:top w:w="28" w:type="dxa"/>
              <w:left w:w="108" w:type="dxa"/>
              <w:bottom w:w="28" w:type="dxa"/>
              <w:right w:w="108" w:type="dxa"/>
            </w:tcMar>
            <w:vAlign w:val="center"/>
          </w:tcPr>
          <w:p w14:paraId="5E4DAC3D">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接受境外药品监管部门检查的，应当及时将检查信息录入药物临床试验机构备案管理信息平台。</w:t>
            </w:r>
          </w:p>
        </w:tc>
        <w:tc>
          <w:tcPr>
            <w:tcW w:w="3685" w:type="dxa"/>
            <w:tcMar>
              <w:top w:w="28" w:type="dxa"/>
              <w:left w:w="108" w:type="dxa"/>
              <w:bottom w:w="28" w:type="dxa"/>
              <w:right w:w="108" w:type="dxa"/>
            </w:tcMar>
            <w:vAlign w:val="center"/>
          </w:tcPr>
          <w:p w14:paraId="252163A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《药物临床试验机构管理规定》第十七条</w:t>
            </w:r>
          </w:p>
        </w:tc>
      </w:tr>
      <w:tr w14:paraId="56C7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1DDF220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组织体系与制度管理</w:t>
            </w:r>
          </w:p>
        </w:tc>
        <w:tc>
          <w:tcPr>
            <w:tcW w:w="680" w:type="dxa"/>
            <w:tcMar>
              <w:top w:w="108" w:type="dxa"/>
              <w:left w:w="108" w:type="dxa"/>
              <w:bottom w:w="108" w:type="dxa"/>
              <w:right w:w="108" w:type="dxa"/>
            </w:tcMar>
            <w:vAlign w:val="center"/>
          </w:tcPr>
          <w:p w14:paraId="3B3500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8</w:t>
            </w:r>
          </w:p>
        </w:tc>
        <w:tc>
          <w:tcPr>
            <w:tcW w:w="8164" w:type="dxa"/>
            <w:tcMar>
              <w:top w:w="108" w:type="dxa"/>
              <w:left w:w="108" w:type="dxa"/>
              <w:bottom w:w="108" w:type="dxa"/>
              <w:right w:w="108" w:type="dxa"/>
            </w:tcMar>
            <w:vAlign w:val="center"/>
          </w:tcPr>
          <w:p w14:paraId="0139677D">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开展药物临床试验应当建立药物临床试验质量管理体系，涵盖临床试验全过程，并确保其有效运行；质量管理应当贯穿计划、启动、执行、记录、监督、评估、分析和报告全过程。</w:t>
            </w:r>
          </w:p>
        </w:tc>
        <w:tc>
          <w:tcPr>
            <w:tcW w:w="3685" w:type="dxa"/>
            <w:tcMar>
              <w:top w:w="108" w:type="dxa"/>
              <w:left w:w="108" w:type="dxa"/>
              <w:bottom w:w="108" w:type="dxa"/>
              <w:right w:w="108" w:type="dxa"/>
            </w:tcMar>
            <w:vAlign w:val="center"/>
          </w:tcPr>
          <w:p w14:paraId="263C1E1F">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《药物临床试验质量管理规范（2026年修订）》第三条、第十八条</w:t>
            </w:r>
          </w:p>
        </w:tc>
      </w:tr>
      <w:tr w14:paraId="2B2E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2C8BE0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89F1E5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9</w:t>
            </w:r>
          </w:p>
        </w:tc>
        <w:tc>
          <w:tcPr>
            <w:tcW w:w="8164" w:type="dxa"/>
            <w:tcMar>
              <w:top w:w="108" w:type="dxa"/>
              <w:left w:w="108" w:type="dxa"/>
              <w:bottom w:w="108" w:type="dxa"/>
              <w:right w:w="108" w:type="dxa"/>
            </w:tcMar>
            <w:vAlign w:val="center"/>
          </w:tcPr>
          <w:p w14:paraId="4CC95768">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参与临床试验的各方人员应当具有能够承担临床试验工作相应的教育背景、培训经历和实践经验，在临床试验过程中能够遵守试验方案；临床试验中的角色和职责应当明确并妥善记录；凡涉及医学判断或者医疗决策，应当由有资质的临床医生作出。</w:t>
            </w:r>
          </w:p>
        </w:tc>
        <w:tc>
          <w:tcPr>
            <w:tcW w:w="3685" w:type="dxa"/>
            <w:tcMar>
              <w:top w:w="108" w:type="dxa"/>
              <w:left w:w="108" w:type="dxa"/>
              <w:bottom w:w="108" w:type="dxa"/>
              <w:right w:w="108" w:type="dxa"/>
            </w:tcMar>
            <w:vAlign w:val="center"/>
          </w:tcPr>
          <w:p w14:paraId="75A2E6FD">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《药物临床试验质量管理规范（2026年修订）》第八条</w:t>
            </w:r>
          </w:p>
        </w:tc>
      </w:tr>
      <w:tr w14:paraId="0935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3585332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5E71C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10</w:t>
            </w:r>
          </w:p>
        </w:tc>
        <w:tc>
          <w:tcPr>
            <w:tcW w:w="8164" w:type="dxa"/>
            <w:tcMar>
              <w:top w:w="108" w:type="dxa"/>
              <w:left w:w="108" w:type="dxa"/>
              <w:bottom w:w="108" w:type="dxa"/>
              <w:right w:w="108" w:type="dxa"/>
            </w:tcMar>
            <w:vAlign w:val="center"/>
          </w:tcPr>
          <w:p w14:paraId="69A6FC48">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是临床试验现场的最终责任人，对试验参与者权益和安全及临床试验质量负责；应当具有在机构的相应执业资格，具备临床试验所需的教育背景、培训经历和实践经验；熟悉试验方案、研究者手册及试验用药品相关资料；熟悉相关技术指南并遵守GCP及相关法律法规。</w:t>
            </w:r>
          </w:p>
        </w:tc>
        <w:tc>
          <w:tcPr>
            <w:tcW w:w="3685" w:type="dxa"/>
            <w:tcMar>
              <w:top w:w="108" w:type="dxa"/>
              <w:left w:w="108" w:type="dxa"/>
              <w:bottom w:w="108" w:type="dxa"/>
              <w:right w:w="108" w:type="dxa"/>
            </w:tcMar>
            <w:vAlign w:val="center"/>
          </w:tcPr>
          <w:p w14:paraId="638F5CDA">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《药物临床试验质量管理规范（2026年修订）》第十九条</w:t>
            </w:r>
          </w:p>
        </w:tc>
      </w:tr>
      <w:tr w14:paraId="220B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5B70E34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8D3D0F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11</w:t>
            </w:r>
          </w:p>
        </w:tc>
        <w:tc>
          <w:tcPr>
            <w:tcW w:w="8164" w:type="dxa"/>
            <w:tcMar>
              <w:top w:w="108" w:type="dxa"/>
              <w:left w:w="108" w:type="dxa"/>
              <w:bottom w:w="108" w:type="dxa"/>
              <w:right w:w="108" w:type="dxa"/>
            </w:tcMar>
            <w:vAlign w:val="center"/>
          </w:tcPr>
          <w:p w14:paraId="35F3E0ED">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授权个人或者单位承担临床试验相关职责和功能的，应当建立完整的工作制度，实施有效监督管理，确保其具备相应资质并能够正确履行职责；确需委托机构以外单位承担相关职责和功能的，应当事先获得申办者同意；对授权和委托事项承担最终责任；主要研究者负责的临床试验决策、关键确认以及向伦理审查委员会、机构和申办者的正式报告原则上不得授权。</w:t>
            </w:r>
          </w:p>
        </w:tc>
        <w:tc>
          <w:tcPr>
            <w:tcW w:w="3685" w:type="dxa"/>
            <w:tcMar>
              <w:top w:w="108" w:type="dxa"/>
              <w:left w:w="108" w:type="dxa"/>
              <w:bottom w:w="108" w:type="dxa"/>
              <w:right w:w="108" w:type="dxa"/>
            </w:tcMar>
            <w:vAlign w:val="center"/>
          </w:tcPr>
          <w:p w14:paraId="59FAA45D">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《药物临床试验质量管理规范（2026年修订）》第二十条</w:t>
            </w:r>
          </w:p>
        </w:tc>
      </w:tr>
      <w:tr w14:paraId="1C97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47440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E71FAC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12</w:t>
            </w:r>
          </w:p>
        </w:tc>
        <w:tc>
          <w:tcPr>
            <w:tcW w:w="8164" w:type="dxa"/>
            <w:tcMar>
              <w:top w:w="108" w:type="dxa"/>
              <w:left w:w="108" w:type="dxa"/>
              <w:bottom w:w="108" w:type="dxa"/>
              <w:right w:w="108" w:type="dxa"/>
            </w:tcMar>
            <w:vAlign w:val="center"/>
          </w:tcPr>
          <w:p w14:paraId="7CEB16B4">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具备完成临床试验所需的必要条件：主要研究者有足够的时间和能力组织、实施临床试验，在临床试验合同约定的期限内入组足够数量且符合试验方案的试验参与者；主要研究者具有使用临床试验所需设施的权限，有权支配并监管参与临床试验的研究人员，正确、安全地实施临床试验。</w:t>
            </w:r>
          </w:p>
        </w:tc>
        <w:tc>
          <w:tcPr>
            <w:tcW w:w="3685" w:type="dxa"/>
            <w:tcMar>
              <w:top w:w="108" w:type="dxa"/>
              <w:left w:w="108" w:type="dxa"/>
              <w:bottom w:w="108" w:type="dxa"/>
              <w:right w:w="108" w:type="dxa"/>
            </w:tcMar>
            <w:vAlign w:val="center"/>
          </w:tcPr>
          <w:p w14:paraId="0C2F96A3">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《药物临床试验质量管理规范（2026年修订）》第二十一条</w:t>
            </w:r>
          </w:p>
        </w:tc>
      </w:tr>
      <w:tr w14:paraId="5883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36BACC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16F69B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13</w:t>
            </w:r>
          </w:p>
        </w:tc>
        <w:tc>
          <w:tcPr>
            <w:tcW w:w="8164" w:type="dxa"/>
            <w:tcMar>
              <w:top w:w="108" w:type="dxa"/>
              <w:left w:w="108" w:type="dxa"/>
              <w:bottom w:w="108" w:type="dxa"/>
              <w:right w:w="108" w:type="dxa"/>
            </w:tcMar>
            <w:vAlign w:val="center"/>
          </w:tcPr>
          <w:p w14:paraId="404F3AF4">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药物临床试验的实施应当遵守利益冲突回避原则，避免对试验参与者权益和安全以及试验结果的可靠性产生影响。</w:t>
            </w:r>
          </w:p>
        </w:tc>
        <w:tc>
          <w:tcPr>
            <w:tcW w:w="3685" w:type="dxa"/>
            <w:tcMar>
              <w:top w:w="108" w:type="dxa"/>
              <w:left w:w="108" w:type="dxa"/>
              <w:bottom w:w="108" w:type="dxa"/>
              <w:right w:w="108" w:type="dxa"/>
            </w:tcMar>
            <w:vAlign w:val="center"/>
          </w:tcPr>
          <w:p w14:paraId="382DCA65">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《药物临床试验质量管理规范（2026年修订）》第十二条</w:t>
            </w:r>
          </w:p>
        </w:tc>
      </w:tr>
      <w:tr w14:paraId="581C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108" w:type="dxa"/>
              <w:left w:w="108" w:type="dxa"/>
              <w:bottom w:w="108" w:type="dxa"/>
              <w:right w:w="108" w:type="dxa"/>
            </w:tcMar>
            <w:vAlign w:val="center"/>
          </w:tcPr>
          <w:p w14:paraId="37DC91E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伦理审查管理</w:t>
            </w:r>
          </w:p>
        </w:tc>
        <w:tc>
          <w:tcPr>
            <w:tcW w:w="680" w:type="dxa"/>
            <w:tcMar>
              <w:top w:w="108" w:type="dxa"/>
              <w:left w:w="108" w:type="dxa"/>
              <w:bottom w:w="108" w:type="dxa"/>
              <w:right w:w="108" w:type="dxa"/>
            </w:tcMar>
            <w:vAlign w:val="center"/>
          </w:tcPr>
          <w:p w14:paraId="4E5718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14</w:t>
            </w:r>
          </w:p>
        </w:tc>
        <w:tc>
          <w:tcPr>
            <w:tcW w:w="8164" w:type="dxa"/>
            <w:tcMar>
              <w:top w:w="108" w:type="dxa"/>
              <w:left w:w="108" w:type="dxa"/>
              <w:bottom w:w="108" w:type="dxa"/>
              <w:right w:w="108" w:type="dxa"/>
            </w:tcMar>
            <w:vAlign w:val="center"/>
          </w:tcPr>
          <w:p w14:paraId="4DE60E81">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应当设立伦理审查委员会，保障其独立、客观、公正开展伦理审查工作；伦理审查委员会的设立、组成、备案及换届等应当符合卫生健康主管部门有关规定及GCP要求。</w:t>
            </w:r>
          </w:p>
        </w:tc>
        <w:tc>
          <w:tcPr>
            <w:tcW w:w="3685" w:type="dxa"/>
            <w:tcMar>
              <w:top w:w="108" w:type="dxa"/>
              <w:left w:w="108" w:type="dxa"/>
              <w:bottom w:w="108" w:type="dxa"/>
              <w:right w:w="108" w:type="dxa"/>
            </w:tcMar>
            <w:vAlign w:val="center"/>
          </w:tcPr>
          <w:p w14:paraId="1189F8D3">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《药品管理法》第二十条；《药物临床试验质量管理规范（2026年修订）》第十四条、第十五条；《涉及人的生命科学和医学研究伦理审查办法》（国卫科教发〔2023〕4号）</w:t>
            </w:r>
          </w:p>
        </w:tc>
      </w:tr>
      <w:tr w14:paraId="004D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7AD1871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试验实施与试验参与者保护</w:t>
            </w:r>
          </w:p>
        </w:tc>
        <w:tc>
          <w:tcPr>
            <w:tcW w:w="680" w:type="dxa"/>
            <w:tcMar>
              <w:top w:w="108" w:type="dxa"/>
              <w:left w:w="108" w:type="dxa"/>
              <w:bottom w:w="108" w:type="dxa"/>
              <w:right w:w="108" w:type="dxa"/>
            </w:tcMar>
            <w:vAlign w:val="center"/>
          </w:tcPr>
          <w:p w14:paraId="2ADFCBC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15</w:t>
            </w:r>
          </w:p>
        </w:tc>
        <w:tc>
          <w:tcPr>
            <w:tcW w:w="8164" w:type="dxa"/>
            <w:tcMar>
              <w:top w:w="108" w:type="dxa"/>
              <w:left w:w="108" w:type="dxa"/>
              <w:bottom w:w="108" w:type="dxa"/>
              <w:right w:w="108" w:type="dxa"/>
            </w:tcMar>
            <w:vAlign w:val="center"/>
          </w:tcPr>
          <w:p w14:paraId="67AFA2D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及其授权的研究人员应当遵守试验方案；试验方案应当在获得伦理审查委员会批准后方可执行；实施过程中确需调整试验方案的，必要时应当再次获得伦理审查委员会批准后方可执行；偏离试验方案的，应当按照规定记录、评估和报告。</w:t>
            </w:r>
          </w:p>
        </w:tc>
        <w:tc>
          <w:tcPr>
            <w:tcW w:w="3685" w:type="dxa"/>
            <w:tcMar>
              <w:top w:w="108" w:type="dxa"/>
              <w:left w:w="108" w:type="dxa"/>
              <w:bottom w:w="108" w:type="dxa"/>
              <w:right w:w="108" w:type="dxa"/>
            </w:tcMar>
            <w:vAlign w:val="center"/>
          </w:tcPr>
          <w:p w14:paraId="02ACA31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《药物临床试验质量管理规范（2026年修订）》第七条、第二十三条</w:t>
            </w:r>
          </w:p>
        </w:tc>
      </w:tr>
      <w:tr w14:paraId="4CBD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DAC9FA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41D4F2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16</w:t>
            </w:r>
          </w:p>
        </w:tc>
        <w:tc>
          <w:tcPr>
            <w:tcW w:w="8164" w:type="dxa"/>
            <w:tcMar>
              <w:top w:w="108" w:type="dxa"/>
              <w:left w:w="108" w:type="dxa"/>
              <w:bottom w:w="108" w:type="dxa"/>
              <w:right w:w="108" w:type="dxa"/>
            </w:tcMar>
            <w:vAlign w:val="center"/>
          </w:tcPr>
          <w:p w14:paraId="060FCD5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实施知情同意应当遵守赫尔辛基宣言的伦理原则，确保试验参与者自愿参加，并通过知情同意过程确保其获知充分的信息；向试验参与者或者其监护人如实说明和解释临床试验的目的和风险等详细情况，取得试验参与者或者其监护人自愿签署的知情同意书，并采取有效措施保护试验参与者合法权益。</w:t>
            </w:r>
          </w:p>
        </w:tc>
        <w:tc>
          <w:tcPr>
            <w:tcW w:w="3685" w:type="dxa"/>
            <w:tcMar>
              <w:top w:w="108" w:type="dxa"/>
              <w:left w:w="108" w:type="dxa"/>
              <w:bottom w:w="108" w:type="dxa"/>
              <w:right w:w="108" w:type="dxa"/>
            </w:tcMar>
            <w:vAlign w:val="center"/>
          </w:tcPr>
          <w:p w14:paraId="09A4F27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《药品管理法》第二十一条；《药物临床试验质量管理规范（2026年修订）》第二十七条</w:t>
            </w:r>
          </w:p>
        </w:tc>
      </w:tr>
      <w:tr w14:paraId="16D7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D6E563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60C2B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17</w:t>
            </w:r>
          </w:p>
        </w:tc>
        <w:tc>
          <w:tcPr>
            <w:tcW w:w="8164" w:type="dxa"/>
            <w:tcMar>
              <w:top w:w="108" w:type="dxa"/>
              <w:left w:w="108" w:type="dxa"/>
              <w:bottom w:w="108" w:type="dxa"/>
              <w:right w:w="108" w:type="dxa"/>
            </w:tcMar>
            <w:vAlign w:val="center"/>
          </w:tcPr>
          <w:p w14:paraId="62132DD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具有临床医生资质的主要研究者或者其授权的临床医生应当给予试验参与者适合的医疗处理，并承担与临床试验有关的医学判断或者医疗决策责任。</w:t>
            </w:r>
          </w:p>
        </w:tc>
        <w:tc>
          <w:tcPr>
            <w:tcW w:w="3685" w:type="dxa"/>
            <w:tcMar>
              <w:top w:w="108" w:type="dxa"/>
              <w:left w:w="108" w:type="dxa"/>
              <w:bottom w:w="108" w:type="dxa"/>
              <w:right w:w="108" w:type="dxa"/>
            </w:tcMar>
            <w:vAlign w:val="center"/>
          </w:tcPr>
          <w:p w14:paraId="795CD92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《药物临床试验质量管理规范（2026年修订）》第二十五条</w:t>
            </w:r>
          </w:p>
        </w:tc>
      </w:tr>
      <w:tr w14:paraId="49D8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1B8E72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24748E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18</w:t>
            </w:r>
          </w:p>
        </w:tc>
        <w:tc>
          <w:tcPr>
            <w:tcW w:w="8164" w:type="dxa"/>
            <w:tcMar>
              <w:top w:w="108" w:type="dxa"/>
              <w:left w:w="108" w:type="dxa"/>
              <w:bottom w:w="108" w:type="dxa"/>
              <w:right w:w="108" w:type="dxa"/>
            </w:tcMar>
            <w:vAlign w:val="center"/>
          </w:tcPr>
          <w:p w14:paraId="40AD61A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的安全性报告应当符合规定要求：按照试验方案的要求和时限向申办者报告安全性评价所需的不良事件、异常检查结果；除试验方案或者其他文件（如研究者手册）中规定不需立即报告的严重不良事件外，获知严重不良事件后应当立即向申办者和伦理审查委员会书面报告，随后及时提供详尽、书面的随访报告；涉及死亡事件的，应当按照要求及时提供尸检报告、最终医学报告等资料；收到申办者提供的可疑且非预期严重不良反应、其他潜在的严重安全性风险信息、药物研发期间安全性更新报告相关信息等安全性信息后应当及时签阅，考虑试验参与者的治疗是否进行相应调整，必要时尽早与试验参与者沟通。</w:t>
            </w:r>
          </w:p>
        </w:tc>
        <w:tc>
          <w:tcPr>
            <w:tcW w:w="3685" w:type="dxa"/>
            <w:tcMar>
              <w:top w:w="108" w:type="dxa"/>
              <w:left w:w="108" w:type="dxa"/>
              <w:bottom w:w="108" w:type="dxa"/>
              <w:right w:w="108" w:type="dxa"/>
            </w:tcMar>
            <w:vAlign w:val="center"/>
          </w:tcPr>
          <w:p w14:paraId="6200BBB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《药物临床试验质量管理规范（2026年修订）》第二十六条</w:t>
            </w:r>
          </w:p>
        </w:tc>
      </w:tr>
      <w:tr w14:paraId="4E70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5B77043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6A6DBA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19</w:t>
            </w:r>
          </w:p>
        </w:tc>
        <w:tc>
          <w:tcPr>
            <w:tcW w:w="8164" w:type="dxa"/>
            <w:tcMar>
              <w:top w:w="108" w:type="dxa"/>
              <w:left w:w="108" w:type="dxa"/>
              <w:bottom w:w="108" w:type="dxa"/>
              <w:right w:w="108" w:type="dxa"/>
            </w:tcMar>
            <w:vAlign w:val="center"/>
          </w:tcPr>
          <w:p w14:paraId="5F58A69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提前终止或者暂停的，主要研究者应当及时通知试验参与者，并给予适当的治疗和随访；提前终止或者暂停临床试验的，应当立即向申办者、伦理审查委员会中的非发起方报告，同时报告机构，并提供书面说明。</w:t>
            </w:r>
          </w:p>
        </w:tc>
        <w:tc>
          <w:tcPr>
            <w:tcW w:w="3685" w:type="dxa"/>
            <w:tcMar>
              <w:top w:w="108" w:type="dxa"/>
              <w:left w:w="108" w:type="dxa"/>
              <w:bottom w:w="108" w:type="dxa"/>
              <w:right w:w="108" w:type="dxa"/>
            </w:tcMar>
            <w:vAlign w:val="center"/>
          </w:tcPr>
          <w:p w14:paraId="6C7DE64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《药物临床试验质量管理规范（2026年修订）》第二十四条</w:t>
            </w:r>
          </w:p>
        </w:tc>
      </w:tr>
      <w:tr w14:paraId="3BDE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5E51C0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7238A3E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20</w:t>
            </w:r>
          </w:p>
        </w:tc>
        <w:tc>
          <w:tcPr>
            <w:tcW w:w="8164" w:type="dxa"/>
            <w:tcMar>
              <w:top w:w="108" w:type="dxa"/>
              <w:left w:w="108" w:type="dxa"/>
              <w:bottom w:w="108" w:type="dxa"/>
              <w:right w:w="108" w:type="dxa"/>
            </w:tcMar>
            <w:vAlign w:val="center"/>
          </w:tcPr>
          <w:p w14:paraId="3454A01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主要研究者应当按照要求与伦理审查委员会沟通，包括提交试验方案及相关资料供审查、报告严重不良事件和方案偏离、提交进展和结题报告等。</w:t>
            </w:r>
          </w:p>
        </w:tc>
        <w:tc>
          <w:tcPr>
            <w:tcW w:w="3685" w:type="dxa"/>
            <w:tcMar>
              <w:top w:w="108" w:type="dxa"/>
              <w:left w:w="108" w:type="dxa"/>
              <w:bottom w:w="108" w:type="dxa"/>
              <w:right w:w="108" w:type="dxa"/>
            </w:tcMar>
            <w:vAlign w:val="center"/>
          </w:tcPr>
          <w:p w14:paraId="5568B17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《药物临床试验质量管理规范（2026年修订）》第二十二条</w:t>
            </w:r>
          </w:p>
        </w:tc>
      </w:tr>
      <w:tr w14:paraId="6FB8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E3FD0F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D61F0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21</w:t>
            </w:r>
          </w:p>
        </w:tc>
        <w:tc>
          <w:tcPr>
            <w:tcW w:w="8164" w:type="dxa"/>
            <w:tcMar>
              <w:top w:w="108" w:type="dxa"/>
              <w:left w:w="108" w:type="dxa"/>
              <w:bottom w:w="108" w:type="dxa"/>
              <w:right w:w="108" w:type="dxa"/>
            </w:tcMar>
            <w:vAlign w:val="center"/>
          </w:tcPr>
          <w:p w14:paraId="6B0064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临床试验的设计和实施应当纳入质量源于设计的方法，识别试验的关键质量因素及相关风险，并采用与之相称的风险控制措施，保护试验参与者的权益和安全，确保结果可靠。</w:t>
            </w:r>
          </w:p>
        </w:tc>
        <w:tc>
          <w:tcPr>
            <w:tcW w:w="3685" w:type="dxa"/>
            <w:tcMar>
              <w:top w:w="108" w:type="dxa"/>
              <w:left w:w="108" w:type="dxa"/>
              <w:bottom w:w="108" w:type="dxa"/>
              <w:right w:w="108" w:type="dxa"/>
            </w:tcMar>
            <w:vAlign w:val="center"/>
          </w:tcPr>
          <w:p w14:paraId="4C90DB1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《药物临床试验质量管理规范（2026年修订）》第六条</w:t>
            </w:r>
          </w:p>
        </w:tc>
      </w:tr>
      <w:tr w14:paraId="4A45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22E0F0E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试验用药品与生物样本管理</w:t>
            </w:r>
          </w:p>
        </w:tc>
        <w:tc>
          <w:tcPr>
            <w:tcW w:w="680" w:type="dxa"/>
            <w:tcMar>
              <w:top w:w="108" w:type="dxa"/>
              <w:left w:w="108" w:type="dxa"/>
              <w:bottom w:w="108" w:type="dxa"/>
              <w:right w:w="108" w:type="dxa"/>
            </w:tcMar>
            <w:vAlign w:val="center"/>
          </w:tcPr>
          <w:p w14:paraId="000E70F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22</w:t>
            </w:r>
          </w:p>
        </w:tc>
        <w:tc>
          <w:tcPr>
            <w:tcW w:w="8164" w:type="dxa"/>
            <w:tcMar>
              <w:top w:w="108" w:type="dxa"/>
              <w:left w:w="108" w:type="dxa"/>
              <w:bottom w:w="108" w:type="dxa"/>
              <w:right w:w="108" w:type="dxa"/>
            </w:tcMar>
            <w:vAlign w:val="center"/>
          </w:tcPr>
          <w:p w14:paraId="5B0E2BBB">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和机构对申办者提供的临床试验用药品负有管理责任：指派具备相应资质的专人负责，建立接收、处理、贮存、分发、使用、回收、退还及销毁的管理制度和记录，保证储存条件符合要求，按方案使用并向试验参与者说明正确使用方法，做到账物相符、去向可查。</w:t>
            </w:r>
          </w:p>
        </w:tc>
        <w:tc>
          <w:tcPr>
            <w:tcW w:w="3685" w:type="dxa"/>
            <w:tcMar>
              <w:top w:w="108" w:type="dxa"/>
              <w:left w:w="108" w:type="dxa"/>
              <w:bottom w:w="108" w:type="dxa"/>
              <w:right w:w="108" w:type="dxa"/>
            </w:tcMar>
            <w:vAlign w:val="center"/>
          </w:tcPr>
          <w:p w14:paraId="078EA550">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《药物临床试验质量管理规范（2026年修订）》第二十八条</w:t>
            </w:r>
          </w:p>
        </w:tc>
      </w:tr>
      <w:tr w14:paraId="051A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801429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7E2C606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23</w:t>
            </w:r>
          </w:p>
        </w:tc>
        <w:tc>
          <w:tcPr>
            <w:tcW w:w="8164" w:type="dxa"/>
            <w:tcMar>
              <w:top w:w="108" w:type="dxa"/>
              <w:left w:w="108" w:type="dxa"/>
              <w:bottom w:w="108" w:type="dxa"/>
              <w:right w:w="108" w:type="dxa"/>
            </w:tcMar>
            <w:vAlign w:val="center"/>
          </w:tcPr>
          <w:p w14:paraId="5D8D7407">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中采集的生物样品，应当按照试验方案和相关规定管理；配合申办者对生物样品采集、处理、运输、储存、检测和销毁的全流程质量管理；禁止实施与伦理审查委员会批准的试验方案无关的生物样品检测（如基因检测等）。</w:t>
            </w:r>
          </w:p>
        </w:tc>
        <w:tc>
          <w:tcPr>
            <w:tcW w:w="3685" w:type="dxa"/>
            <w:tcMar>
              <w:top w:w="108" w:type="dxa"/>
              <w:left w:w="108" w:type="dxa"/>
              <w:bottom w:w="108" w:type="dxa"/>
              <w:right w:w="108" w:type="dxa"/>
            </w:tcMar>
            <w:vAlign w:val="center"/>
          </w:tcPr>
          <w:p w14:paraId="56801B55">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《药物临床试验质量管理规范（2026年修订）》第三十七条；《药品注册核查要点与判定原则（药物临床试验）（2026年修订）》（生物样品分析部分）</w:t>
            </w:r>
          </w:p>
        </w:tc>
      </w:tr>
      <w:tr w14:paraId="070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3828E67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8B79EC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24</w:t>
            </w:r>
          </w:p>
        </w:tc>
        <w:tc>
          <w:tcPr>
            <w:tcW w:w="8164" w:type="dxa"/>
            <w:tcMar>
              <w:top w:w="108" w:type="dxa"/>
              <w:left w:w="108" w:type="dxa"/>
              <w:bottom w:w="108" w:type="dxa"/>
              <w:right w:w="108" w:type="dxa"/>
            </w:tcMar>
            <w:vAlign w:val="center"/>
          </w:tcPr>
          <w:p w14:paraId="754A980C">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开展生物等效性试验的，主要研究者应当对生物等效性试验的临床试验用药品进行随机抽取留样，至少保存留样至药品上市后2年，并制定相应管理制度；可以将留样委托具备条件的独立第三方保存，但不得返还申办者或者与其利益相关的第三方。</w:t>
            </w:r>
          </w:p>
        </w:tc>
        <w:tc>
          <w:tcPr>
            <w:tcW w:w="3685" w:type="dxa"/>
            <w:tcMar>
              <w:top w:w="108" w:type="dxa"/>
              <w:left w:w="108" w:type="dxa"/>
              <w:bottom w:w="108" w:type="dxa"/>
              <w:right w:w="108" w:type="dxa"/>
            </w:tcMar>
            <w:vAlign w:val="center"/>
          </w:tcPr>
          <w:p w14:paraId="682F8B72">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《药物临床试验质量管理规范（2026年修订）》第二十八条</w:t>
            </w:r>
          </w:p>
        </w:tc>
      </w:tr>
      <w:tr w14:paraId="0E9F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66F001B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数据记录与数据治理</w:t>
            </w:r>
          </w:p>
        </w:tc>
        <w:tc>
          <w:tcPr>
            <w:tcW w:w="680" w:type="dxa"/>
            <w:tcMar>
              <w:top w:w="108" w:type="dxa"/>
              <w:left w:w="108" w:type="dxa"/>
              <w:bottom w:w="108" w:type="dxa"/>
              <w:right w:w="108" w:type="dxa"/>
            </w:tcMar>
            <w:vAlign w:val="center"/>
          </w:tcPr>
          <w:p w14:paraId="2835C2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25</w:t>
            </w:r>
          </w:p>
        </w:tc>
        <w:tc>
          <w:tcPr>
            <w:tcW w:w="8164" w:type="dxa"/>
            <w:tcMar>
              <w:top w:w="108" w:type="dxa"/>
              <w:left w:w="108" w:type="dxa"/>
              <w:bottom w:w="108" w:type="dxa"/>
              <w:right w:w="108" w:type="dxa"/>
            </w:tcMar>
            <w:vAlign w:val="center"/>
          </w:tcPr>
          <w:p w14:paraId="06F7B2BF">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所有临床试验的纸质、电子资料应当被妥善地记录、处理和保存，保证数据的可靠性和可追溯性；应当保护试验参与者的隐私和个人信息安全，符合我国个人信息保护的有关要求。</w:t>
            </w:r>
          </w:p>
        </w:tc>
        <w:tc>
          <w:tcPr>
            <w:tcW w:w="3685" w:type="dxa"/>
            <w:tcMar>
              <w:top w:w="108" w:type="dxa"/>
              <w:left w:w="108" w:type="dxa"/>
              <w:bottom w:w="108" w:type="dxa"/>
              <w:right w:w="108" w:type="dxa"/>
            </w:tcMar>
            <w:vAlign w:val="center"/>
          </w:tcPr>
          <w:p w14:paraId="3A4521AD">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《药物临床试验质量管理规范（2026年修订）》第九条</w:t>
            </w:r>
          </w:p>
        </w:tc>
      </w:tr>
      <w:tr w14:paraId="23CB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549899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A70FE7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26</w:t>
            </w:r>
          </w:p>
        </w:tc>
        <w:tc>
          <w:tcPr>
            <w:tcW w:w="8164" w:type="dxa"/>
            <w:tcMar>
              <w:top w:w="108" w:type="dxa"/>
              <w:left w:w="108" w:type="dxa"/>
              <w:bottom w:w="108" w:type="dxa"/>
              <w:right w:w="108" w:type="dxa"/>
            </w:tcMar>
            <w:vAlign w:val="center"/>
          </w:tcPr>
          <w:p w14:paraId="7F3FE949">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临床试验的记录应当及时、准确、完整、清晰、可溯源，不得编造、篡改或者隐匿；源文件应当妥善保存；临床试验总结报告应当与源数据一致。</w:t>
            </w:r>
          </w:p>
        </w:tc>
        <w:tc>
          <w:tcPr>
            <w:tcW w:w="3685" w:type="dxa"/>
            <w:tcMar>
              <w:top w:w="108" w:type="dxa"/>
              <w:left w:w="108" w:type="dxa"/>
              <w:bottom w:w="108" w:type="dxa"/>
              <w:right w:w="108" w:type="dxa"/>
            </w:tcMar>
            <w:vAlign w:val="center"/>
          </w:tcPr>
          <w:p w14:paraId="3A4B06C7">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《药品管理法实施条例》第六条；《药物临床试验质量管理规范（2026年修订）》第二十九条</w:t>
            </w:r>
          </w:p>
        </w:tc>
      </w:tr>
      <w:tr w14:paraId="192C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F5020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3D0AEC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27</w:t>
            </w:r>
          </w:p>
        </w:tc>
        <w:tc>
          <w:tcPr>
            <w:tcW w:w="8164" w:type="dxa"/>
            <w:tcMar>
              <w:top w:w="108" w:type="dxa"/>
              <w:left w:w="108" w:type="dxa"/>
              <w:bottom w:w="108" w:type="dxa"/>
              <w:right w:w="108" w:type="dxa"/>
            </w:tcMar>
            <w:vAlign w:val="center"/>
          </w:tcPr>
          <w:p w14:paraId="76D3C7B8">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主要研究者应当提供临床试验报告，并对报告内容的真实性、准确性负责。</w:t>
            </w:r>
          </w:p>
        </w:tc>
        <w:tc>
          <w:tcPr>
            <w:tcW w:w="3685" w:type="dxa"/>
            <w:tcMar>
              <w:top w:w="108" w:type="dxa"/>
              <w:left w:w="108" w:type="dxa"/>
              <w:bottom w:w="108" w:type="dxa"/>
              <w:right w:w="108" w:type="dxa"/>
            </w:tcMar>
            <w:vAlign w:val="center"/>
          </w:tcPr>
          <w:p w14:paraId="57CB2414">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《药物临床试验质量管理规范（2026年修订）》第三十条</w:t>
            </w:r>
          </w:p>
        </w:tc>
      </w:tr>
      <w:tr w14:paraId="4E4A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759B9F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E4E8D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28</w:t>
            </w:r>
          </w:p>
        </w:tc>
        <w:tc>
          <w:tcPr>
            <w:tcW w:w="8164" w:type="dxa"/>
            <w:tcMar>
              <w:top w:w="108" w:type="dxa"/>
              <w:left w:w="108" w:type="dxa"/>
              <w:bottom w:w="108" w:type="dxa"/>
              <w:right w:w="108" w:type="dxa"/>
            </w:tcMar>
            <w:vAlign w:val="center"/>
          </w:tcPr>
          <w:p w14:paraId="03EC4E43">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应当在各自职责范围内承担数据治理责任，数据治理贯穿临床试验数据全生命周期，确保准确报告、验证和解释临床试验相关信息。</w:t>
            </w:r>
          </w:p>
        </w:tc>
        <w:tc>
          <w:tcPr>
            <w:tcW w:w="3685" w:type="dxa"/>
            <w:tcMar>
              <w:top w:w="108" w:type="dxa"/>
              <w:left w:w="108" w:type="dxa"/>
              <w:bottom w:w="108" w:type="dxa"/>
              <w:right w:w="108" w:type="dxa"/>
            </w:tcMar>
            <w:vAlign w:val="center"/>
          </w:tcPr>
          <w:p w14:paraId="5104DCFD">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《药物临床试验质量管理规范（2026年修订）》第五十一条</w:t>
            </w:r>
          </w:p>
        </w:tc>
      </w:tr>
      <w:tr w14:paraId="1CD3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726AF19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1AC79D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29</w:t>
            </w:r>
          </w:p>
        </w:tc>
        <w:tc>
          <w:tcPr>
            <w:tcW w:w="8164" w:type="dxa"/>
            <w:tcMar>
              <w:top w:w="108" w:type="dxa"/>
              <w:left w:w="108" w:type="dxa"/>
              <w:bottom w:w="108" w:type="dxa"/>
              <w:right w:w="108" w:type="dxa"/>
            </w:tcMar>
            <w:vAlign w:val="center"/>
          </w:tcPr>
          <w:p w14:paraId="68625788">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用于临床试验的计算机化系统应当满足对试验数据可靠性、可追溯性和安全性的要求，包括系统验证、权限管理、稽查轨迹、备份恢复等。</w:t>
            </w:r>
          </w:p>
        </w:tc>
        <w:tc>
          <w:tcPr>
            <w:tcW w:w="3685" w:type="dxa"/>
            <w:tcMar>
              <w:top w:w="108" w:type="dxa"/>
              <w:left w:w="108" w:type="dxa"/>
              <w:bottom w:w="108" w:type="dxa"/>
              <w:right w:w="108" w:type="dxa"/>
            </w:tcMar>
            <w:vAlign w:val="center"/>
          </w:tcPr>
          <w:p w14:paraId="73C8B667">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《药物临床试验质量管理规范（2026年修订）》第五十三条</w:t>
            </w:r>
          </w:p>
        </w:tc>
      </w:tr>
      <w:tr w14:paraId="61DC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ED43A5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46485E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30</w:t>
            </w:r>
          </w:p>
        </w:tc>
        <w:tc>
          <w:tcPr>
            <w:tcW w:w="8164" w:type="dxa"/>
            <w:tcMar>
              <w:top w:w="108" w:type="dxa"/>
              <w:left w:w="108" w:type="dxa"/>
              <w:bottom w:w="108" w:type="dxa"/>
              <w:right w:w="108" w:type="dxa"/>
            </w:tcMar>
            <w:vAlign w:val="center"/>
          </w:tcPr>
          <w:p w14:paraId="71E27C91">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盲法试验中，临床试验适用的各阶段都应当保持盲态完整性，并采取适当的盲态管理措施防止意外破盲导致试验偏倚。</w:t>
            </w:r>
          </w:p>
        </w:tc>
        <w:tc>
          <w:tcPr>
            <w:tcW w:w="3685" w:type="dxa"/>
            <w:tcMar>
              <w:top w:w="108" w:type="dxa"/>
              <w:left w:w="108" w:type="dxa"/>
              <w:bottom w:w="108" w:type="dxa"/>
              <w:right w:w="108" w:type="dxa"/>
            </w:tcMar>
            <w:vAlign w:val="center"/>
          </w:tcPr>
          <w:p w14:paraId="0BB1A7A6">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《药物临床试验质量管理规范（2026年修订）》第五十二条</w:t>
            </w:r>
          </w:p>
        </w:tc>
      </w:tr>
      <w:tr w14:paraId="4752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672602F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接受监督检查与核查</w:t>
            </w:r>
          </w:p>
        </w:tc>
        <w:tc>
          <w:tcPr>
            <w:tcW w:w="680" w:type="dxa"/>
            <w:tcMar>
              <w:top w:w="108" w:type="dxa"/>
              <w:left w:w="108" w:type="dxa"/>
              <w:bottom w:w="108" w:type="dxa"/>
              <w:right w:w="108" w:type="dxa"/>
            </w:tcMar>
            <w:vAlign w:val="center"/>
          </w:tcPr>
          <w:p w14:paraId="49E757B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31</w:t>
            </w:r>
          </w:p>
        </w:tc>
        <w:tc>
          <w:tcPr>
            <w:tcW w:w="8164" w:type="dxa"/>
            <w:tcMar>
              <w:top w:w="108" w:type="dxa"/>
              <w:left w:w="108" w:type="dxa"/>
              <w:bottom w:w="108" w:type="dxa"/>
              <w:right w:w="108" w:type="dxa"/>
            </w:tcMar>
            <w:vAlign w:val="center"/>
          </w:tcPr>
          <w:p w14:paraId="3A1D05D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主要研究者和机构应当接受申办者组织的监查和稽查，以及药品监督管理部门的检查，并配合提供所需的与临床试验有关的记录。</w:t>
            </w:r>
          </w:p>
        </w:tc>
        <w:tc>
          <w:tcPr>
            <w:tcW w:w="3685" w:type="dxa"/>
            <w:tcMar>
              <w:top w:w="108" w:type="dxa"/>
              <w:left w:w="108" w:type="dxa"/>
              <w:bottom w:w="108" w:type="dxa"/>
              <w:right w:w="108" w:type="dxa"/>
            </w:tcMar>
            <w:vAlign w:val="center"/>
          </w:tcPr>
          <w:p w14:paraId="2B9F229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《药物临床试验质量管理规范（2026年修订）》第三十一条</w:t>
            </w:r>
          </w:p>
        </w:tc>
      </w:tr>
      <w:tr w14:paraId="13D2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7294CB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4FCF0E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32</w:t>
            </w:r>
          </w:p>
        </w:tc>
        <w:tc>
          <w:tcPr>
            <w:tcW w:w="8164" w:type="dxa"/>
            <w:tcMar>
              <w:top w:w="108" w:type="dxa"/>
              <w:left w:w="108" w:type="dxa"/>
              <w:bottom w:w="108" w:type="dxa"/>
              <w:right w:w="108" w:type="dxa"/>
            </w:tcMar>
            <w:vAlign w:val="center"/>
          </w:tcPr>
          <w:p w14:paraId="67F557D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接受药品监督管理部门的日常监督检查、有因检查和其他检查；对检查发现的缺陷（严重缺陷、主要缺陷、一般缺陷）进行整改，在现场检查结束后20个工作日内提交整改报告；检查结论为待整改后评定的，应当在规定期限内完成整改并经综合评定。</w:t>
            </w:r>
          </w:p>
        </w:tc>
        <w:tc>
          <w:tcPr>
            <w:tcW w:w="3685" w:type="dxa"/>
            <w:tcMar>
              <w:top w:w="108" w:type="dxa"/>
              <w:left w:w="108" w:type="dxa"/>
              <w:bottom w:w="108" w:type="dxa"/>
              <w:right w:w="108" w:type="dxa"/>
            </w:tcMar>
            <w:vAlign w:val="center"/>
          </w:tcPr>
          <w:p w14:paraId="22C6B84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《药物临床试验机构监督检查办法（试行）》第七条、第二十一条、第二十二条、第二十三条；《药物临床试验机构监督检查要点及判定原则（2026年修订）》</w:t>
            </w:r>
          </w:p>
        </w:tc>
      </w:tr>
      <w:tr w14:paraId="23D6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9230B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B30B7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33</w:t>
            </w:r>
          </w:p>
        </w:tc>
        <w:tc>
          <w:tcPr>
            <w:tcW w:w="8164" w:type="dxa"/>
            <w:tcMar>
              <w:top w:w="108" w:type="dxa"/>
              <w:left w:w="108" w:type="dxa"/>
              <w:bottom w:w="108" w:type="dxa"/>
              <w:right w:w="108" w:type="dxa"/>
            </w:tcMar>
            <w:vAlign w:val="center"/>
          </w:tcPr>
          <w:p w14:paraId="2CA5377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接受药品注册核查的，应当配合核查组实施现场核查，提供真实、完整的原始记录和文件，不得拒绝、阻碍、隐瞒或者提供虚假材料；配合对申办者、合同研究组织或者试验用药品制备条件及情况的延伸核查。</w:t>
            </w:r>
          </w:p>
        </w:tc>
        <w:tc>
          <w:tcPr>
            <w:tcW w:w="3685" w:type="dxa"/>
            <w:tcMar>
              <w:top w:w="108" w:type="dxa"/>
              <w:left w:w="108" w:type="dxa"/>
              <w:bottom w:w="108" w:type="dxa"/>
              <w:right w:w="108" w:type="dxa"/>
            </w:tcMar>
            <w:vAlign w:val="center"/>
          </w:tcPr>
          <w:p w14:paraId="448357A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《药品注册核查工作程序（试行）》（核查中心2021年第30号通告）；《药品注册核查要点与判定原则（药物临床试验）（2026年修订）》</w:t>
            </w:r>
          </w:p>
        </w:tc>
      </w:tr>
      <w:tr w14:paraId="06A3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3DCCAE0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449AF32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34</w:t>
            </w:r>
          </w:p>
        </w:tc>
        <w:tc>
          <w:tcPr>
            <w:tcW w:w="8164" w:type="dxa"/>
            <w:tcMar>
              <w:top w:w="108" w:type="dxa"/>
              <w:left w:w="108" w:type="dxa"/>
              <w:bottom w:w="108" w:type="dxa"/>
              <w:right w:w="108" w:type="dxa"/>
            </w:tcMar>
            <w:vAlign w:val="center"/>
          </w:tcPr>
          <w:p w14:paraId="0D2CAA0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新备案机构或者增加临床试验专业、地址变更的，应当接受药品监督管理部门在60个工作日内开展的首次监督检查。</w:t>
            </w:r>
          </w:p>
        </w:tc>
        <w:tc>
          <w:tcPr>
            <w:tcW w:w="3685" w:type="dxa"/>
            <w:tcMar>
              <w:top w:w="108" w:type="dxa"/>
              <w:left w:w="108" w:type="dxa"/>
              <w:bottom w:w="108" w:type="dxa"/>
              <w:right w:w="108" w:type="dxa"/>
            </w:tcMar>
            <w:vAlign w:val="center"/>
          </w:tcPr>
          <w:p w14:paraId="690953E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《药物临床试验机构管理规定》第十九条</w:t>
            </w:r>
          </w:p>
        </w:tc>
      </w:tr>
    </w:tbl>
    <w:p w14:paraId="1EBB6BAB">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val="0"/>
          <w:bCs/>
        </w:rPr>
      </w:pPr>
      <w:r>
        <w:br w:type="page"/>
      </w:r>
      <w:r>
        <w:rPr>
          <w:rFonts w:hint="eastAsia" w:ascii="黑体" w:hAnsi="黑体" w:eastAsia="黑体" w:cs="黑体"/>
          <w:b w:val="0"/>
          <w:bCs/>
          <w:sz w:val="32"/>
        </w:rPr>
        <w:t>表2：药品上市许可持有人（申办者）主体责任清单</w:t>
      </w:r>
    </w:p>
    <w:tbl>
      <w:tblPr>
        <w:tblStyle w:val="33"/>
        <w:tblW w:w="14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680"/>
        <w:gridCol w:w="8164"/>
        <w:gridCol w:w="3685"/>
      </w:tblGrid>
      <w:tr w14:paraId="62CE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tcMar>
              <w:top w:w="108" w:type="dxa"/>
              <w:left w:w="108" w:type="dxa"/>
              <w:bottom w:w="108" w:type="dxa"/>
              <w:right w:w="108" w:type="dxa"/>
            </w:tcMar>
            <w:vAlign w:val="center"/>
          </w:tcPr>
          <w:p w14:paraId="6A0D01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项目</w:t>
            </w:r>
          </w:p>
        </w:tc>
        <w:tc>
          <w:tcPr>
            <w:tcW w:w="680" w:type="dxa"/>
            <w:tcMar>
              <w:top w:w="108" w:type="dxa"/>
              <w:left w:w="108" w:type="dxa"/>
              <w:bottom w:w="108" w:type="dxa"/>
              <w:right w:w="108" w:type="dxa"/>
            </w:tcMar>
            <w:vAlign w:val="center"/>
          </w:tcPr>
          <w:p w14:paraId="60D5CA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序号</w:t>
            </w:r>
          </w:p>
        </w:tc>
        <w:tc>
          <w:tcPr>
            <w:tcW w:w="8164" w:type="dxa"/>
            <w:tcMar>
              <w:top w:w="108" w:type="dxa"/>
              <w:left w:w="108" w:type="dxa"/>
              <w:bottom w:w="108" w:type="dxa"/>
              <w:right w:w="108" w:type="dxa"/>
            </w:tcMar>
            <w:vAlign w:val="center"/>
          </w:tcPr>
          <w:p w14:paraId="3B12C10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主体责任</w:t>
            </w:r>
          </w:p>
        </w:tc>
        <w:tc>
          <w:tcPr>
            <w:tcW w:w="3685" w:type="dxa"/>
            <w:tcMar>
              <w:top w:w="108" w:type="dxa"/>
              <w:left w:w="108" w:type="dxa"/>
              <w:bottom w:w="108" w:type="dxa"/>
              <w:right w:w="108" w:type="dxa"/>
            </w:tcMar>
            <w:vAlign w:val="center"/>
          </w:tcPr>
          <w:p w14:paraId="7D41492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责任依据</w:t>
            </w:r>
          </w:p>
        </w:tc>
      </w:tr>
      <w:tr w14:paraId="4201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814" w:type="dxa"/>
            <w:vMerge w:val="restart"/>
            <w:tcMar>
              <w:top w:w="108" w:type="dxa"/>
              <w:left w:w="108" w:type="dxa"/>
              <w:bottom w:w="108" w:type="dxa"/>
              <w:right w:w="108" w:type="dxa"/>
            </w:tcMar>
            <w:vAlign w:val="center"/>
          </w:tcPr>
          <w:p w14:paraId="5C9FFAF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注册申请与审批</w:t>
            </w:r>
          </w:p>
        </w:tc>
        <w:tc>
          <w:tcPr>
            <w:tcW w:w="680" w:type="dxa"/>
            <w:tcMar>
              <w:top w:w="108" w:type="dxa"/>
              <w:left w:w="108" w:type="dxa"/>
              <w:bottom w:w="108" w:type="dxa"/>
              <w:right w:w="108" w:type="dxa"/>
            </w:tcMar>
            <w:vAlign w:val="center"/>
          </w:tcPr>
          <w:p w14:paraId="691955A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w:t>
            </w:r>
          </w:p>
        </w:tc>
        <w:tc>
          <w:tcPr>
            <w:tcW w:w="8164" w:type="dxa"/>
            <w:tcMar>
              <w:top w:w="108" w:type="dxa"/>
              <w:left w:w="108" w:type="dxa"/>
              <w:bottom w:w="108" w:type="dxa"/>
              <w:right w:w="108" w:type="dxa"/>
            </w:tcMar>
            <w:vAlign w:val="center"/>
          </w:tcPr>
          <w:p w14:paraId="2E4CE89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完成支持药物临床试验的药学、药理毒理学等研究后，方可提出药物临床试验申请，并按照申报资料要求提交相关研究资料；申请药物临床试验许可、药品注册，不得提供虚假证明、数据、资料、样品或者采取其他欺骗手段。</w:t>
            </w:r>
          </w:p>
        </w:tc>
        <w:tc>
          <w:tcPr>
            <w:tcW w:w="3685" w:type="dxa"/>
            <w:tcMar>
              <w:top w:w="108" w:type="dxa"/>
              <w:left w:w="108" w:type="dxa"/>
              <w:bottom w:w="108" w:type="dxa"/>
              <w:right w:w="108" w:type="dxa"/>
            </w:tcMar>
            <w:vAlign w:val="center"/>
          </w:tcPr>
          <w:p w14:paraId="2AC1F16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《药品注册管理办法》第二十三条；《药品管理法实施条例》第八十二条</w:t>
            </w:r>
          </w:p>
        </w:tc>
      </w:tr>
      <w:tr w14:paraId="3D0E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3586" w:type="dxa"/>
            <w:vMerge w:val="continue"/>
            <w:tcMar>
              <w:top w:w="108" w:type="dxa"/>
              <w:left w:w="108" w:type="dxa"/>
              <w:bottom w:w="108" w:type="dxa"/>
              <w:right w:w="108" w:type="dxa"/>
            </w:tcMar>
            <w:vAlign w:val="center"/>
          </w:tcPr>
          <w:p w14:paraId="7C77ED3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158C2A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w:t>
            </w:r>
          </w:p>
        </w:tc>
        <w:tc>
          <w:tcPr>
            <w:tcW w:w="8164" w:type="dxa"/>
            <w:tcMar>
              <w:top w:w="108" w:type="dxa"/>
              <w:left w:w="108" w:type="dxa"/>
              <w:bottom w:w="108" w:type="dxa"/>
              <w:right w:w="108" w:type="dxa"/>
            </w:tcMar>
            <w:vAlign w:val="center"/>
          </w:tcPr>
          <w:p w14:paraId="32E8C38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开展药物临床试验，应当按照国务院药品监督管理部门的规定如实报送研制方法、质量指标、药理及毒理试验结果等有关数据、资料和样品，经批准后方可开展；自受理之日起六十日内未收到否定或者质疑意见的，可以按照提交的方案开展药物临床试验；开展生物等效性试验的，应当报国务院药品监督管理部门备案。</w:t>
            </w:r>
          </w:p>
        </w:tc>
        <w:tc>
          <w:tcPr>
            <w:tcW w:w="3685" w:type="dxa"/>
            <w:tcMar>
              <w:top w:w="108" w:type="dxa"/>
              <w:left w:w="108" w:type="dxa"/>
              <w:bottom w:w="108" w:type="dxa"/>
              <w:right w:w="108" w:type="dxa"/>
            </w:tcMar>
            <w:vAlign w:val="center"/>
          </w:tcPr>
          <w:p w14:paraId="14CF002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《药品管理法》第十九条；《药品注册管理办法》第二十三条</w:t>
            </w:r>
          </w:p>
        </w:tc>
      </w:tr>
      <w:tr w14:paraId="4DAE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B19405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CF75D6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w:t>
            </w:r>
          </w:p>
        </w:tc>
        <w:tc>
          <w:tcPr>
            <w:tcW w:w="8164" w:type="dxa"/>
            <w:tcMar>
              <w:top w:w="108" w:type="dxa"/>
              <w:left w:w="108" w:type="dxa"/>
              <w:bottom w:w="108" w:type="dxa"/>
              <w:right w:w="108" w:type="dxa"/>
            </w:tcMar>
            <w:vAlign w:val="center"/>
          </w:tcPr>
          <w:p w14:paraId="56E960F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通过创新药临床试验审评审批30日通道申报的，应当为中药、化学药品、生物制品1类创新药临床试验并符合规定条件，按要求提交申报资料；充分考察药物临床试验机构组长单位的伦理审查和主要研究者能力、合规情况，与组长单位同步开展项目立项、伦理审查；具备与申报品种研发风险相适应的风险评估和管理能力，并承诺在获批后12周内启动临床试验。</w:t>
            </w:r>
          </w:p>
        </w:tc>
        <w:tc>
          <w:tcPr>
            <w:tcW w:w="3685" w:type="dxa"/>
            <w:tcMar>
              <w:top w:w="108" w:type="dxa"/>
              <w:left w:w="108" w:type="dxa"/>
              <w:bottom w:w="108" w:type="dxa"/>
              <w:right w:w="108" w:type="dxa"/>
            </w:tcMar>
            <w:vAlign w:val="center"/>
          </w:tcPr>
          <w:p w14:paraId="13A862D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《国家药监局关于优化创新药临床试验审评审批有关事项的公告》（2025年第86号）第一条至第五条</w:t>
            </w:r>
          </w:p>
        </w:tc>
      </w:tr>
      <w:tr w14:paraId="5E4F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C2C0BB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AD88B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4</w:t>
            </w:r>
          </w:p>
        </w:tc>
        <w:tc>
          <w:tcPr>
            <w:tcW w:w="8164" w:type="dxa"/>
            <w:tcMar>
              <w:top w:w="108" w:type="dxa"/>
              <w:left w:w="108" w:type="dxa"/>
              <w:bottom w:w="108" w:type="dxa"/>
              <w:right w:w="108" w:type="dxa"/>
            </w:tcMar>
            <w:vAlign w:val="center"/>
          </w:tcPr>
          <w:p w14:paraId="76C78B8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期间，发生药物临床试验方案变更、非临床或者药学的变化或者有新发现的，应当按照规定，参照相关技术指导原则，充分评估对试验参与者安全的影响；评估认为不影响试验参与者安全的，可以直接实施并在研发期间安全性更新报告中报告；可能增加试验参与者安全性风险的，应当提出补充申请。</w:t>
            </w:r>
          </w:p>
        </w:tc>
        <w:tc>
          <w:tcPr>
            <w:tcW w:w="3685" w:type="dxa"/>
            <w:tcMar>
              <w:top w:w="108" w:type="dxa"/>
              <w:left w:w="108" w:type="dxa"/>
              <w:bottom w:w="108" w:type="dxa"/>
              <w:right w:w="108" w:type="dxa"/>
            </w:tcMar>
            <w:vAlign w:val="center"/>
          </w:tcPr>
          <w:p w14:paraId="17D8A03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《药品注册管理办法》第二十九条；《药物临床试验期间方案变更技术指导原则（试行）》（药审中心2022年第34号通告）</w:t>
            </w:r>
          </w:p>
        </w:tc>
      </w:tr>
      <w:tr w14:paraId="61D3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F07D67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88D7B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5</w:t>
            </w:r>
          </w:p>
        </w:tc>
        <w:tc>
          <w:tcPr>
            <w:tcW w:w="8164" w:type="dxa"/>
            <w:tcMar>
              <w:top w:w="108" w:type="dxa"/>
              <w:left w:w="108" w:type="dxa"/>
              <w:bottom w:w="108" w:type="dxa"/>
              <w:right w:w="108" w:type="dxa"/>
            </w:tcMar>
            <w:vAlign w:val="center"/>
          </w:tcPr>
          <w:p w14:paraId="1E9FC5F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申办者发生变更的，应当向国务院药品监督管理部门提出申请，经批准后方可变更；由变更后的申办者承担药物临床试验的相关责任和义务。</w:t>
            </w:r>
          </w:p>
        </w:tc>
        <w:tc>
          <w:tcPr>
            <w:tcW w:w="3685" w:type="dxa"/>
            <w:tcMar>
              <w:top w:w="108" w:type="dxa"/>
              <w:left w:w="108" w:type="dxa"/>
              <w:bottom w:w="108" w:type="dxa"/>
              <w:right w:w="108" w:type="dxa"/>
            </w:tcMar>
            <w:vAlign w:val="center"/>
          </w:tcPr>
          <w:p w14:paraId="0F711FC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《药品管理法实施条例》第九条；《药品注册管理办法》第二十九条</w:t>
            </w:r>
          </w:p>
        </w:tc>
      </w:tr>
      <w:tr w14:paraId="112F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CBEE65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9F8857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6</w:t>
            </w:r>
          </w:p>
        </w:tc>
        <w:tc>
          <w:tcPr>
            <w:tcW w:w="8164" w:type="dxa"/>
            <w:tcMar>
              <w:top w:w="108" w:type="dxa"/>
              <w:left w:w="108" w:type="dxa"/>
              <w:bottom w:w="108" w:type="dxa"/>
              <w:right w:w="108" w:type="dxa"/>
            </w:tcMar>
            <w:vAlign w:val="center"/>
          </w:tcPr>
          <w:p w14:paraId="18F7CAB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临床试验开始前，应当向国务院药品监督管理部门提交相关的临床试验资料，获得临床试验许可或者完成生物等效性试验备案；应当及时获取伦理审查委员会相关记录并按要求执行伦理审查意见。</w:t>
            </w:r>
          </w:p>
        </w:tc>
        <w:tc>
          <w:tcPr>
            <w:tcW w:w="3685" w:type="dxa"/>
            <w:tcMar>
              <w:top w:w="108" w:type="dxa"/>
              <w:left w:w="108" w:type="dxa"/>
              <w:bottom w:w="108" w:type="dxa"/>
              <w:right w:w="108" w:type="dxa"/>
            </w:tcMar>
            <w:vAlign w:val="center"/>
          </w:tcPr>
          <w:p w14:paraId="14307C4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《药物临床试验质量管理规范（2026年修订）》第三十八条</w:t>
            </w:r>
          </w:p>
        </w:tc>
      </w:tr>
      <w:tr w14:paraId="509A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0AF7D9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质量管理与组织实施</w:t>
            </w:r>
          </w:p>
        </w:tc>
        <w:tc>
          <w:tcPr>
            <w:tcW w:w="680" w:type="dxa"/>
            <w:tcMar>
              <w:top w:w="108" w:type="dxa"/>
              <w:left w:w="108" w:type="dxa"/>
              <w:bottom w:w="108" w:type="dxa"/>
              <w:right w:w="108" w:type="dxa"/>
            </w:tcMar>
            <w:vAlign w:val="center"/>
          </w:tcPr>
          <w:p w14:paraId="59A79C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7</w:t>
            </w:r>
          </w:p>
        </w:tc>
        <w:tc>
          <w:tcPr>
            <w:tcW w:w="8164" w:type="dxa"/>
            <w:tcMar>
              <w:top w:w="108" w:type="dxa"/>
              <w:left w:w="108" w:type="dxa"/>
              <w:bottom w:w="108" w:type="dxa"/>
              <w:right w:w="108" w:type="dxa"/>
            </w:tcMar>
            <w:vAlign w:val="center"/>
          </w:tcPr>
          <w:p w14:paraId="50D680EA">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申办者作为临床试验相关活动的最终责任人，应当把保护试验参与者的权益和安全以及数据的可靠性作为临床试验的基本考虑；药品上市许可持有人依法对药品研制、生产、经营、使用全过程中药品的安全性、有效性和质量可控性负责。</w:t>
            </w:r>
          </w:p>
        </w:tc>
        <w:tc>
          <w:tcPr>
            <w:tcW w:w="3685" w:type="dxa"/>
            <w:tcMar>
              <w:top w:w="108" w:type="dxa"/>
              <w:left w:w="108" w:type="dxa"/>
              <w:bottom w:w="108" w:type="dxa"/>
              <w:right w:w="108" w:type="dxa"/>
            </w:tcMar>
            <w:vAlign w:val="center"/>
          </w:tcPr>
          <w:p w14:paraId="70DA7029">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《药品管理法》第三十条；《药物临床试验质量管理规范（2026年修订）》第三十二条</w:t>
            </w:r>
          </w:p>
        </w:tc>
      </w:tr>
      <w:tr w14:paraId="3FF6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734D278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67D6F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8</w:t>
            </w:r>
          </w:p>
        </w:tc>
        <w:tc>
          <w:tcPr>
            <w:tcW w:w="8164" w:type="dxa"/>
            <w:tcMar>
              <w:top w:w="108" w:type="dxa"/>
              <w:left w:w="108" w:type="dxa"/>
              <w:bottom w:w="108" w:type="dxa"/>
              <w:right w:w="108" w:type="dxa"/>
            </w:tcMar>
            <w:vAlign w:val="center"/>
          </w:tcPr>
          <w:p w14:paraId="3F430BB9">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设计临床试验方案应当基于足够的安全性和有效性数据，纳入质量源于设计的方法，确保临床试验的科学性、可靠性和可操作性；制定并及时更新试验方案、研究者手册、知情同意材料等文件，向主要研究者和伦理审查委员会提供最新文件。</w:t>
            </w:r>
          </w:p>
        </w:tc>
        <w:tc>
          <w:tcPr>
            <w:tcW w:w="3685" w:type="dxa"/>
            <w:tcMar>
              <w:top w:w="108" w:type="dxa"/>
              <w:left w:w="108" w:type="dxa"/>
              <w:bottom w:w="108" w:type="dxa"/>
              <w:right w:w="108" w:type="dxa"/>
            </w:tcMar>
            <w:vAlign w:val="center"/>
          </w:tcPr>
          <w:p w14:paraId="56501C22">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《药物临床试验质量管理规范（2026年修订）》第三十三条、第三十九条</w:t>
            </w:r>
          </w:p>
        </w:tc>
      </w:tr>
      <w:tr w14:paraId="440B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546C47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E2C9A0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9</w:t>
            </w:r>
          </w:p>
        </w:tc>
        <w:tc>
          <w:tcPr>
            <w:tcW w:w="8164" w:type="dxa"/>
            <w:tcMar>
              <w:top w:w="108" w:type="dxa"/>
              <w:left w:w="108" w:type="dxa"/>
              <w:bottom w:w="108" w:type="dxa"/>
              <w:right w:w="108" w:type="dxa"/>
            </w:tcMar>
            <w:vAlign w:val="center"/>
          </w:tcPr>
          <w:p w14:paraId="7CEE4691">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应当根据临床试验需要选用有适当资质的人员，建立临床试验的研究和管理团队，指导、监督临床试验全过程；建立有效的沟通渠道并记录关键沟通内容；配备医学人员，及时解答与临床试验相关的医学问题。</w:t>
            </w:r>
          </w:p>
        </w:tc>
        <w:tc>
          <w:tcPr>
            <w:tcW w:w="3685" w:type="dxa"/>
            <w:tcMar>
              <w:top w:w="108" w:type="dxa"/>
              <w:left w:w="108" w:type="dxa"/>
              <w:bottom w:w="108" w:type="dxa"/>
              <w:right w:w="108" w:type="dxa"/>
            </w:tcMar>
            <w:vAlign w:val="center"/>
          </w:tcPr>
          <w:p w14:paraId="4338AF30">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《药物临床试验质量管理规范（2026年修订）》第三十四条</w:t>
            </w:r>
          </w:p>
        </w:tc>
      </w:tr>
      <w:tr w14:paraId="499C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1FD989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7061176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10</w:t>
            </w:r>
          </w:p>
        </w:tc>
        <w:tc>
          <w:tcPr>
            <w:tcW w:w="8164" w:type="dxa"/>
            <w:tcMar>
              <w:top w:w="108" w:type="dxa"/>
              <w:left w:w="108" w:type="dxa"/>
              <w:bottom w:w="108" w:type="dxa"/>
              <w:right w:w="108" w:type="dxa"/>
            </w:tcMar>
            <w:vAlign w:val="center"/>
          </w:tcPr>
          <w:p w14:paraId="6B8D06C4">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应当事先评估，选择符合要求的主要研究者和药物临床试验机构，履行试验参与者保护、临床试验用药品管理、临床试验数据管理、风险管理等责任。</w:t>
            </w:r>
          </w:p>
        </w:tc>
        <w:tc>
          <w:tcPr>
            <w:tcW w:w="3685" w:type="dxa"/>
            <w:tcMar>
              <w:top w:w="108" w:type="dxa"/>
              <w:left w:w="108" w:type="dxa"/>
              <w:bottom w:w="108" w:type="dxa"/>
              <w:right w:w="108" w:type="dxa"/>
            </w:tcMar>
            <w:vAlign w:val="center"/>
          </w:tcPr>
          <w:p w14:paraId="23651375">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《药品管理法实施条例》第八条；《药物临床试验质量管理规范（2026年修订）》第三十五条</w:t>
            </w:r>
          </w:p>
        </w:tc>
      </w:tr>
      <w:tr w14:paraId="32F0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778769C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31F6B7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11</w:t>
            </w:r>
          </w:p>
        </w:tc>
        <w:tc>
          <w:tcPr>
            <w:tcW w:w="8164" w:type="dxa"/>
            <w:tcMar>
              <w:top w:w="108" w:type="dxa"/>
              <w:left w:w="108" w:type="dxa"/>
              <w:bottom w:w="108" w:type="dxa"/>
              <w:right w:w="108" w:type="dxa"/>
            </w:tcMar>
            <w:vAlign w:val="center"/>
          </w:tcPr>
          <w:p w14:paraId="4BBBBDA5">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委托服务供应商（合同研究组织等）承担临床试验相关工作的，应当对其进行评估和监督，签订书面协议明确双方职责；受委托方如存在任务转包，应当事先获得申办者的书面同意；申办者对临床试验的质量和试验参与者保护负最终责任。</w:t>
            </w:r>
          </w:p>
        </w:tc>
        <w:tc>
          <w:tcPr>
            <w:tcW w:w="3685" w:type="dxa"/>
            <w:tcMar>
              <w:top w:w="108" w:type="dxa"/>
              <w:left w:w="108" w:type="dxa"/>
              <w:bottom w:w="108" w:type="dxa"/>
              <w:right w:w="108" w:type="dxa"/>
            </w:tcMar>
            <w:vAlign w:val="center"/>
          </w:tcPr>
          <w:p w14:paraId="53D3229E">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《药物临床试验质量管理规范（2026年修订）》第三十六条</w:t>
            </w:r>
          </w:p>
        </w:tc>
      </w:tr>
      <w:tr w14:paraId="7612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DECE13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7B4AC9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12</w:t>
            </w:r>
          </w:p>
        </w:tc>
        <w:tc>
          <w:tcPr>
            <w:tcW w:w="8164" w:type="dxa"/>
            <w:tcMar>
              <w:top w:w="108" w:type="dxa"/>
              <w:left w:w="108" w:type="dxa"/>
              <w:bottom w:w="108" w:type="dxa"/>
              <w:right w:w="108" w:type="dxa"/>
            </w:tcMar>
            <w:vAlign w:val="center"/>
          </w:tcPr>
          <w:p w14:paraId="1658A6AB">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负责选择符合相关规定且具备相应资质的实验室承担生物样品检测分析，监督实验室对生物样品管理、检测分析、运输、储存和销毁等全流程的质量管理；在知情同意书中明确说明临床试验结束后剩余生物样品的继续保存或者将来可能被使用等情况。</w:t>
            </w:r>
          </w:p>
        </w:tc>
        <w:tc>
          <w:tcPr>
            <w:tcW w:w="3685" w:type="dxa"/>
            <w:tcMar>
              <w:top w:w="108" w:type="dxa"/>
              <w:left w:w="108" w:type="dxa"/>
              <w:bottom w:w="108" w:type="dxa"/>
              <w:right w:w="108" w:type="dxa"/>
            </w:tcMar>
            <w:vAlign w:val="center"/>
          </w:tcPr>
          <w:p w14:paraId="4F53DCE7">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《药物临床试验质量管理规范（2026年修订）》第三十七条</w:t>
            </w:r>
          </w:p>
        </w:tc>
      </w:tr>
      <w:tr w14:paraId="2552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8928E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397214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13</w:t>
            </w:r>
          </w:p>
        </w:tc>
        <w:tc>
          <w:tcPr>
            <w:tcW w:w="8164" w:type="dxa"/>
            <w:tcMar>
              <w:top w:w="108" w:type="dxa"/>
              <w:left w:w="108" w:type="dxa"/>
              <w:bottom w:w="108" w:type="dxa"/>
              <w:right w:w="108" w:type="dxa"/>
            </w:tcMar>
            <w:vAlign w:val="center"/>
          </w:tcPr>
          <w:p w14:paraId="62CDF404">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pacing w:val="-6"/>
                <w:sz w:val="21"/>
                <w:szCs w:val="21"/>
              </w:rPr>
              <w:t>应当基于风险，采用适合的体系，对临床试验全过程进行质量管理，有效设计和实施临床试验，对全过程进行监督；监督措施的范围和程度应当与临床试验的复杂性和风险相称；实施质量保证和质量控制，包括制定监查计划、实施监查，必要时开展稽查。</w:t>
            </w:r>
          </w:p>
        </w:tc>
        <w:tc>
          <w:tcPr>
            <w:tcW w:w="3685" w:type="dxa"/>
            <w:tcMar>
              <w:top w:w="108" w:type="dxa"/>
              <w:left w:w="108" w:type="dxa"/>
              <w:bottom w:w="108" w:type="dxa"/>
              <w:right w:w="108" w:type="dxa"/>
            </w:tcMar>
            <w:vAlign w:val="center"/>
          </w:tcPr>
          <w:p w14:paraId="66F9619F">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《药物临床试验质量管理规范（2026年修订）》第四十条、第四十一条</w:t>
            </w:r>
          </w:p>
        </w:tc>
      </w:tr>
      <w:tr w14:paraId="2AC7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70494BF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4B31A8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14</w:t>
            </w:r>
          </w:p>
        </w:tc>
        <w:tc>
          <w:tcPr>
            <w:tcW w:w="8164" w:type="dxa"/>
            <w:tcMar>
              <w:top w:w="108" w:type="dxa"/>
              <w:left w:w="108" w:type="dxa"/>
              <w:bottom w:w="108" w:type="dxa"/>
              <w:right w:w="108" w:type="dxa"/>
            </w:tcMar>
            <w:vAlign w:val="center"/>
          </w:tcPr>
          <w:p w14:paraId="66FA5B74">
            <w:pPr>
              <w:keepNext w:val="0"/>
              <w:keepLines w:val="0"/>
              <w:pageBreakBefore w:val="0"/>
              <w:widowControl/>
              <w:kinsoku/>
              <w:wordWrap/>
              <w:overflowPunct/>
              <w:topLinePunct w:val="0"/>
              <w:autoSpaceDE/>
              <w:autoSpaceDN/>
              <w:bidi w:val="0"/>
              <w:adjustRightInd/>
              <w:snapToGrid/>
              <w:spacing w:after="0" w:line="2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对临床试验进行风险管理，识别、评估和控制临床试验风险；对临床试验实施依从性管理，发现对试验参与者的权益和安全或者试验结果的可靠性产生或者可能产生显著影响的不依从问题时，应当及时分析根本原因，采取纠正和预防措施，及时书面报告伦理审查委员会。</w:t>
            </w:r>
          </w:p>
        </w:tc>
        <w:tc>
          <w:tcPr>
            <w:tcW w:w="3685" w:type="dxa"/>
            <w:tcMar>
              <w:top w:w="108" w:type="dxa"/>
              <w:left w:w="108" w:type="dxa"/>
              <w:bottom w:w="108" w:type="dxa"/>
              <w:right w:w="108" w:type="dxa"/>
            </w:tcMar>
            <w:vAlign w:val="center"/>
          </w:tcPr>
          <w:p w14:paraId="6BF6FBCA">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《药物临床试验质量管理规范（2026年修订）》第四十二条、第四十三条</w:t>
            </w:r>
          </w:p>
        </w:tc>
      </w:tr>
      <w:tr w14:paraId="6904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C73DF3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712E2E2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15</w:t>
            </w:r>
          </w:p>
        </w:tc>
        <w:tc>
          <w:tcPr>
            <w:tcW w:w="8164" w:type="dxa"/>
            <w:tcMar>
              <w:top w:w="108" w:type="dxa"/>
              <w:left w:w="108" w:type="dxa"/>
              <w:bottom w:w="108" w:type="dxa"/>
              <w:right w:w="108" w:type="dxa"/>
            </w:tcMar>
            <w:vAlign w:val="center"/>
          </w:tcPr>
          <w:p w14:paraId="5A10E63D">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申请30日通道或者开展创新药临床试验的，应当按照要求撰写创新药研发期间风险管理计划。</w:t>
            </w:r>
          </w:p>
        </w:tc>
        <w:tc>
          <w:tcPr>
            <w:tcW w:w="3685" w:type="dxa"/>
            <w:tcMar>
              <w:top w:w="108" w:type="dxa"/>
              <w:left w:w="108" w:type="dxa"/>
              <w:bottom w:w="108" w:type="dxa"/>
              <w:right w:w="108" w:type="dxa"/>
            </w:tcMar>
            <w:vAlign w:val="center"/>
          </w:tcPr>
          <w:p w14:paraId="3FED91C1">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《创新药研发期间风险管理计划撰写技术指导原则（试行）》（药审中心2025年第38号通告）</w:t>
            </w:r>
          </w:p>
        </w:tc>
      </w:tr>
      <w:tr w14:paraId="382F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4BF675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063F8E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16</w:t>
            </w:r>
          </w:p>
        </w:tc>
        <w:tc>
          <w:tcPr>
            <w:tcW w:w="8164" w:type="dxa"/>
            <w:tcMar>
              <w:top w:w="108" w:type="dxa"/>
              <w:left w:w="108" w:type="dxa"/>
              <w:bottom w:w="108" w:type="dxa"/>
              <w:right w:w="108" w:type="dxa"/>
            </w:tcMar>
            <w:vAlign w:val="center"/>
          </w:tcPr>
          <w:p w14:paraId="4CFF30C0">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临床试验的纸质、电子资料应当妥善记录、处理和保存；明确试验记录的查阅权限，确保监查员、稽查员、伦理审查委员会的审查者及药品监督管理部门的检查人员能够直接查阅临床试验相关的源记录；根据监管要求保存临床试验相关的必备记录，并书面告知主要研究者、临床试验机构和服务供应商对试验记录保存的要求；用于申请药品注册的临床试验，保存至试验药物被批准上市后5年，未被批准或者未用于药品注册的，至少保存至临床试验终止后5年。</w:t>
            </w:r>
          </w:p>
        </w:tc>
        <w:tc>
          <w:tcPr>
            <w:tcW w:w="3685" w:type="dxa"/>
            <w:tcMar>
              <w:top w:w="108" w:type="dxa"/>
              <w:left w:w="108" w:type="dxa"/>
              <w:bottom w:w="108" w:type="dxa"/>
              <w:right w:w="108" w:type="dxa"/>
            </w:tcMar>
            <w:vAlign w:val="center"/>
          </w:tcPr>
          <w:p w14:paraId="05D12AD9">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《药物临床试验质量管理规范（2026年修订）》第九条、第四十八条、第四十九条</w:t>
            </w:r>
          </w:p>
        </w:tc>
      </w:tr>
      <w:tr w14:paraId="544B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70F30D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127F5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17</w:t>
            </w:r>
          </w:p>
        </w:tc>
        <w:tc>
          <w:tcPr>
            <w:tcW w:w="8164" w:type="dxa"/>
            <w:tcMar>
              <w:top w:w="108" w:type="dxa"/>
              <w:left w:w="108" w:type="dxa"/>
              <w:bottom w:w="108" w:type="dxa"/>
              <w:right w:w="108" w:type="dxa"/>
            </w:tcMar>
            <w:vAlign w:val="center"/>
          </w:tcPr>
          <w:p w14:paraId="32EF0264">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履行数据治理责任，确保临床试验数据的可靠性、可追溯性和安全性：确保临床试验中部署或者使用的电子数据管理系统满足计算机化系统要求；不得更改主要研究者及其授权的研究人员或者试验参与者录入的数据，确有正当理由的，应当在修改前获得主要研究者的书面同意并进行记录；使用试验参与者鉴认代码识别每一位试验参与者的所有临床试验数据；制定符合试验方案的统计分析计划，对统计编程以及数据处理和分析过程实施适当的质量管理并记录。</w:t>
            </w:r>
          </w:p>
        </w:tc>
        <w:tc>
          <w:tcPr>
            <w:tcW w:w="3685" w:type="dxa"/>
            <w:tcMar>
              <w:top w:w="108" w:type="dxa"/>
              <w:left w:w="108" w:type="dxa"/>
              <w:bottom w:w="108" w:type="dxa"/>
              <w:right w:w="108" w:type="dxa"/>
            </w:tcMar>
            <w:vAlign w:val="center"/>
          </w:tcPr>
          <w:p w14:paraId="3C60F0B5">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《药物临床试验质量管理规范（2026年修订）》第四十八条、第五十一条、第五十三条</w:t>
            </w:r>
          </w:p>
        </w:tc>
      </w:tr>
      <w:tr w14:paraId="386B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54423FB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试验参与者保护与试验用药品管理</w:t>
            </w:r>
          </w:p>
        </w:tc>
        <w:tc>
          <w:tcPr>
            <w:tcW w:w="680" w:type="dxa"/>
            <w:tcMar>
              <w:top w:w="108" w:type="dxa"/>
              <w:left w:w="108" w:type="dxa"/>
              <w:bottom w:w="108" w:type="dxa"/>
              <w:right w:w="108" w:type="dxa"/>
            </w:tcMar>
            <w:vAlign w:val="center"/>
          </w:tcPr>
          <w:p w14:paraId="23AB98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18</w:t>
            </w:r>
          </w:p>
        </w:tc>
        <w:tc>
          <w:tcPr>
            <w:tcW w:w="8164" w:type="dxa"/>
            <w:tcMar>
              <w:top w:w="108" w:type="dxa"/>
              <w:left w:w="108" w:type="dxa"/>
              <w:bottom w:w="108" w:type="dxa"/>
              <w:right w:w="108" w:type="dxa"/>
            </w:tcMar>
            <w:vAlign w:val="center"/>
          </w:tcPr>
          <w:p w14:paraId="40AC32D4">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免费向试验参与者提供临床试验用药品，并支付与临床试验相关的医学检测费用；采取适当方式保证可以给予试验参与者和主要研究者补偿或者赔偿；因参加药物临床试验受到损害的试验参与者，申办者应当承担治疗费用和经济补偿；不得向试验参与者收取与临床试验有关的费用。</w:t>
            </w:r>
          </w:p>
        </w:tc>
        <w:tc>
          <w:tcPr>
            <w:tcW w:w="3685" w:type="dxa"/>
            <w:tcMar>
              <w:top w:w="108" w:type="dxa"/>
              <w:left w:w="108" w:type="dxa"/>
              <w:bottom w:w="108" w:type="dxa"/>
              <w:right w:w="108" w:type="dxa"/>
            </w:tcMar>
            <w:vAlign w:val="center"/>
          </w:tcPr>
          <w:p w14:paraId="0C539702">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《药品管理法》第二十一条；《药品管理法实施条例》第八条；《药物临床试验质量管理规范（2026年修订）》第四十五条</w:t>
            </w:r>
          </w:p>
        </w:tc>
      </w:tr>
      <w:tr w14:paraId="3F37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F15D6A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BB76E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19</w:t>
            </w:r>
          </w:p>
        </w:tc>
        <w:tc>
          <w:tcPr>
            <w:tcW w:w="8164" w:type="dxa"/>
            <w:tcMar>
              <w:top w:w="108" w:type="dxa"/>
              <w:left w:w="108" w:type="dxa"/>
              <w:bottom w:w="108" w:type="dxa"/>
              <w:right w:w="108" w:type="dxa"/>
            </w:tcMar>
            <w:vAlign w:val="center"/>
          </w:tcPr>
          <w:p w14:paraId="62A152D3">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负责向主要研究者和机构提供临床试验用药品；临床试验用药品的制备应当符合药品生产质量管理规范有关要求，供应和管理应当符合规定：标签标明仅用于临床试验及临床试验和临床试验用药品信息，按照方案要求储存、运输，建立供应、回收和销毁记录，保证质量可控、去向可查。</w:t>
            </w:r>
          </w:p>
        </w:tc>
        <w:tc>
          <w:tcPr>
            <w:tcW w:w="3685" w:type="dxa"/>
            <w:tcMar>
              <w:top w:w="108" w:type="dxa"/>
              <w:left w:w="108" w:type="dxa"/>
              <w:bottom w:w="108" w:type="dxa"/>
              <w:right w:w="108" w:type="dxa"/>
            </w:tcMar>
            <w:vAlign w:val="center"/>
          </w:tcPr>
          <w:p w14:paraId="1A375F1D">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《药品管理法实施条例》第八条；《药物临床试验质量管理规范（2026年修订）》第四十六条</w:t>
            </w:r>
          </w:p>
        </w:tc>
      </w:tr>
      <w:tr w14:paraId="18EB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B61D12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3590A37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20</w:t>
            </w:r>
          </w:p>
        </w:tc>
        <w:tc>
          <w:tcPr>
            <w:tcW w:w="8164" w:type="dxa"/>
            <w:tcMar>
              <w:top w:w="108" w:type="dxa"/>
              <w:left w:w="108" w:type="dxa"/>
              <w:bottom w:w="108" w:type="dxa"/>
              <w:right w:w="108" w:type="dxa"/>
            </w:tcMar>
            <w:vAlign w:val="center"/>
          </w:tcPr>
          <w:p w14:paraId="6C3B72EF">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在盲法试验中，应当建立工作制度以确保临床试验适用的各阶段保持盲态，并预防和识别破盲；规定紧急揭盲的程序并保证可执行。</w:t>
            </w:r>
          </w:p>
        </w:tc>
        <w:tc>
          <w:tcPr>
            <w:tcW w:w="3685" w:type="dxa"/>
            <w:tcMar>
              <w:top w:w="108" w:type="dxa"/>
              <w:left w:w="108" w:type="dxa"/>
              <w:bottom w:w="108" w:type="dxa"/>
              <w:right w:w="108" w:type="dxa"/>
            </w:tcMar>
            <w:vAlign w:val="center"/>
          </w:tcPr>
          <w:p w14:paraId="7A97B782">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《药物临床试验质量管理规范（2026年修订）》第四十七条、第五十二条</w:t>
            </w:r>
          </w:p>
        </w:tc>
      </w:tr>
      <w:tr w14:paraId="4429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03C2F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4C76C1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21</w:t>
            </w:r>
          </w:p>
        </w:tc>
        <w:tc>
          <w:tcPr>
            <w:tcW w:w="8164" w:type="dxa"/>
            <w:tcMar>
              <w:top w:w="108" w:type="dxa"/>
              <w:left w:w="108" w:type="dxa"/>
              <w:bottom w:w="108" w:type="dxa"/>
              <w:right w:w="108" w:type="dxa"/>
            </w:tcMar>
            <w:vAlign w:val="center"/>
          </w:tcPr>
          <w:p w14:paraId="6C063231">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开展拓展性使用临床试验用药品（同情用药）的，应当符合规定：对正在开展临床试验的用于治疗严重危及生命且尚无有效治疗手段的疾病的药物，经医学观察可能获益，并且符合伦理原则的，经审查、知情同意后，可以在开展临床试验的机构内用于其他病情相同的患者。</w:t>
            </w:r>
          </w:p>
        </w:tc>
        <w:tc>
          <w:tcPr>
            <w:tcW w:w="3685" w:type="dxa"/>
            <w:tcMar>
              <w:top w:w="108" w:type="dxa"/>
              <w:left w:w="108" w:type="dxa"/>
              <w:bottom w:w="108" w:type="dxa"/>
              <w:right w:w="108" w:type="dxa"/>
            </w:tcMar>
            <w:vAlign w:val="center"/>
          </w:tcPr>
          <w:p w14:paraId="5A54FD25">
            <w:pPr>
              <w:keepNext w:val="0"/>
              <w:keepLines w:val="0"/>
              <w:pageBreakBefore w:val="0"/>
              <w:widowControl/>
              <w:kinsoku/>
              <w:wordWrap/>
              <w:overflowPunct/>
              <w:topLinePunct w:val="0"/>
              <w:autoSpaceDE/>
              <w:autoSpaceDN/>
              <w:bidi w:val="0"/>
              <w:adjustRightInd/>
              <w:snapToGrid/>
              <w:spacing w:after="0" w:line="2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《药品管理法》第二十三条；《药品管理法实施条例》第五十三条</w:t>
            </w:r>
          </w:p>
        </w:tc>
      </w:tr>
      <w:tr w14:paraId="4B6A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1D27886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安全性监测与报告</w:t>
            </w:r>
          </w:p>
        </w:tc>
        <w:tc>
          <w:tcPr>
            <w:tcW w:w="680" w:type="dxa"/>
            <w:tcMar>
              <w:top w:w="108" w:type="dxa"/>
              <w:left w:w="108" w:type="dxa"/>
              <w:bottom w:w="108" w:type="dxa"/>
              <w:right w:w="108" w:type="dxa"/>
            </w:tcMar>
            <w:vAlign w:val="center"/>
          </w:tcPr>
          <w:p w14:paraId="32190FF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22</w:t>
            </w:r>
          </w:p>
        </w:tc>
        <w:tc>
          <w:tcPr>
            <w:tcW w:w="8164" w:type="dxa"/>
            <w:tcMar>
              <w:top w:w="108" w:type="dxa"/>
              <w:left w:w="108" w:type="dxa"/>
              <w:bottom w:w="108" w:type="dxa"/>
              <w:right w:w="108" w:type="dxa"/>
            </w:tcMar>
            <w:vAlign w:val="center"/>
          </w:tcPr>
          <w:p w14:paraId="74D13A7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申办者是药物临床试验安全性信息监测与可疑且非预期严重不良反应报告的责任主体；应当指定专职人员负责临床试验安全性信息监测与严重不良事件报告管理，制订标准操作规程并对相关人员培训，掌握临床试验过程中最新安全性信息，及时进行安全风险评估，向试验相关方通报有关信息。</w:t>
            </w:r>
          </w:p>
        </w:tc>
        <w:tc>
          <w:tcPr>
            <w:tcW w:w="3685" w:type="dxa"/>
            <w:tcMar>
              <w:top w:w="108" w:type="dxa"/>
              <w:left w:w="108" w:type="dxa"/>
              <w:bottom w:w="108" w:type="dxa"/>
              <w:right w:w="108" w:type="dxa"/>
            </w:tcMar>
            <w:vAlign w:val="center"/>
          </w:tcPr>
          <w:p w14:paraId="7A48EA4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《药物临床试验期间安全性数据快速报告的标准和程序》第八条；《药物警戒质量管理规范》第一百一十八条</w:t>
            </w:r>
          </w:p>
        </w:tc>
      </w:tr>
      <w:tr w14:paraId="1343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0EC4A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74FCBA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23</w:t>
            </w:r>
          </w:p>
        </w:tc>
        <w:tc>
          <w:tcPr>
            <w:tcW w:w="8164" w:type="dxa"/>
            <w:tcMar>
              <w:top w:w="108" w:type="dxa"/>
              <w:left w:w="108" w:type="dxa"/>
              <w:bottom w:w="108" w:type="dxa"/>
              <w:right w:w="108" w:type="dxa"/>
            </w:tcMar>
            <w:vAlign w:val="center"/>
          </w:tcPr>
          <w:p w14:paraId="40F878D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判断与试验药物肯定相关或可疑的非预期且严重的不良反应，应当以个例安全性报告方式快速报告：致死或危及生命的非预期严重不良反应，首次获知后不得超过7天报告，并在随后的8天内完善随访信息；非致死或危及生命的，首次获知后不得超过15天报告；随访报告时限为获得新信息起15天内。</w:t>
            </w:r>
          </w:p>
        </w:tc>
        <w:tc>
          <w:tcPr>
            <w:tcW w:w="3685" w:type="dxa"/>
            <w:tcMar>
              <w:top w:w="108" w:type="dxa"/>
              <w:left w:w="108" w:type="dxa"/>
              <w:bottom w:w="108" w:type="dxa"/>
              <w:right w:w="108" w:type="dxa"/>
            </w:tcMar>
            <w:vAlign w:val="center"/>
          </w:tcPr>
          <w:p w14:paraId="3632CE6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《药物临床试验期间安全性数据快速报告的标准和程序》第九条、第十一条</w:t>
            </w:r>
          </w:p>
        </w:tc>
      </w:tr>
      <w:tr w14:paraId="5DEB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5AA5C46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5881E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24</w:t>
            </w:r>
          </w:p>
        </w:tc>
        <w:tc>
          <w:tcPr>
            <w:tcW w:w="8164" w:type="dxa"/>
            <w:tcMar>
              <w:top w:w="108" w:type="dxa"/>
              <w:left w:w="108" w:type="dxa"/>
              <w:bottom w:w="108" w:type="dxa"/>
              <w:right w:w="108" w:type="dxa"/>
            </w:tcMar>
            <w:vAlign w:val="center"/>
          </w:tcPr>
          <w:p w14:paraId="7B11F27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对其他潜在的严重安全性风险信息（如已知严重不良反应发生率增加且具临床重要性、对暴露人群有明显危害、新近完成的动物试验中的重大安全性发现等），应当尽快向国家药品审评机构报告，并作出医学和科学的判断。</w:t>
            </w:r>
          </w:p>
        </w:tc>
        <w:tc>
          <w:tcPr>
            <w:tcW w:w="3685" w:type="dxa"/>
            <w:tcMar>
              <w:top w:w="108" w:type="dxa"/>
              <w:left w:w="108" w:type="dxa"/>
              <w:bottom w:w="108" w:type="dxa"/>
              <w:right w:w="108" w:type="dxa"/>
            </w:tcMar>
            <w:vAlign w:val="center"/>
          </w:tcPr>
          <w:p w14:paraId="22707BC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《药物临床试验期间安全性数据快速报告的标准和程序》第十三条、第十八条；《药物警戒质量管理规范》第一百二十七条</w:t>
            </w:r>
          </w:p>
        </w:tc>
      </w:tr>
      <w:tr w14:paraId="3020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83CFB5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1FF263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25</w:t>
            </w:r>
          </w:p>
        </w:tc>
        <w:tc>
          <w:tcPr>
            <w:tcW w:w="8164" w:type="dxa"/>
            <w:tcMar>
              <w:top w:w="108" w:type="dxa"/>
              <w:left w:w="108" w:type="dxa"/>
              <w:bottom w:w="108" w:type="dxa"/>
              <w:right w:w="108" w:type="dxa"/>
            </w:tcMar>
            <w:vAlign w:val="center"/>
          </w:tcPr>
          <w:p w14:paraId="7F0F04E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定期在药品审评中心网站提交研发期间安全性更新报告，每年提交一次，于药物临床试验获准后每满一年后的两个月内提交；药品审评中心可以根据审查情况要求调整报告周期；并按照《药物临床试验期间安全性信息汇总分析和报告指导原则（试行）》等要求规范报告内容和格式。</w:t>
            </w:r>
          </w:p>
        </w:tc>
        <w:tc>
          <w:tcPr>
            <w:tcW w:w="3685" w:type="dxa"/>
            <w:tcMar>
              <w:top w:w="108" w:type="dxa"/>
              <w:left w:w="108" w:type="dxa"/>
              <w:bottom w:w="108" w:type="dxa"/>
              <w:right w:w="108" w:type="dxa"/>
            </w:tcMar>
            <w:vAlign w:val="center"/>
          </w:tcPr>
          <w:p w14:paraId="7C6A595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《药品注册管理办法》第二十八条；《药物临床试验期间安全性信息汇总分析和报告指导原则（试行）》（药审中心2023年第16号通告）</w:t>
            </w:r>
          </w:p>
        </w:tc>
      </w:tr>
      <w:tr w14:paraId="5E66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433A2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ADCEEE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26</w:t>
            </w:r>
          </w:p>
        </w:tc>
        <w:tc>
          <w:tcPr>
            <w:tcW w:w="8164" w:type="dxa"/>
            <w:tcMar>
              <w:top w:w="108" w:type="dxa"/>
              <w:left w:w="108" w:type="dxa"/>
              <w:bottom w:w="108" w:type="dxa"/>
              <w:right w:w="108" w:type="dxa"/>
            </w:tcMar>
            <w:vAlign w:val="center"/>
          </w:tcPr>
          <w:p w14:paraId="223D161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在药物临床试验期间进行持续的安全性评估，并按照要求和时限进行报告；收到任何来源的安全性相关信息后，均应当立即分析评估，并按要求将有关信息及时通报主要研究者、临床试验机构和伦理审查委员会。</w:t>
            </w:r>
          </w:p>
        </w:tc>
        <w:tc>
          <w:tcPr>
            <w:tcW w:w="3685" w:type="dxa"/>
            <w:tcMar>
              <w:top w:w="108" w:type="dxa"/>
              <w:left w:w="108" w:type="dxa"/>
              <w:bottom w:w="108" w:type="dxa"/>
              <w:right w:w="108" w:type="dxa"/>
            </w:tcMar>
            <w:vAlign w:val="center"/>
          </w:tcPr>
          <w:p w14:paraId="20B98F6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《药物临床试验质量管理规范（2026年修订）》第四十四条</w:t>
            </w:r>
          </w:p>
        </w:tc>
      </w:tr>
      <w:tr w14:paraId="362E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3370F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5BA8B4C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27</w:t>
            </w:r>
          </w:p>
        </w:tc>
        <w:tc>
          <w:tcPr>
            <w:tcW w:w="8164" w:type="dxa"/>
            <w:tcMar>
              <w:top w:w="108" w:type="dxa"/>
              <w:left w:w="108" w:type="dxa"/>
              <w:bottom w:w="108" w:type="dxa"/>
              <w:right w:w="108" w:type="dxa"/>
            </w:tcMar>
            <w:vAlign w:val="center"/>
          </w:tcPr>
          <w:p w14:paraId="54CBAD3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药物临床试验期间，发现存在安全性问题或者其他风险的，应当及时调整临床试验方案、暂停或者终止临床试验，并向国务院药品监督管理部门报告。</w:t>
            </w:r>
          </w:p>
        </w:tc>
        <w:tc>
          <w:tcPr>
            <w:tcW w:w="3685" w:type="dxa"/>
            <w:tcMar>
              <w:top w:w="108" w:type="dxa"/>
              <w:left w:w="108" w:type="dxa"/>
              <w:bottom w:w="108" w:type="dxa"/>
              <w:right w:w="108" w:type="dxa"/>
            </w:tcMar>
            <w:vAlign w:val="center"/>
          </w:tcPr>
          <w:p w14:paraId="448EE15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pacing w:val="-6"/>
                <w:sz w:val="21"/>
                <w:szCs w:val="21"/>
              </w:rPr>
              <w:t>《药品管理法》第二十二条；《药物临床试验质量管理规范（2026年修订）》第四十四条；《药物临床试验期间安全信息评估与管理规范（试行）》</w:t>
            </w:r>
          </w:p>
        </w:tc>
      </w:tr>
      <w:tr w14:paraId="19F3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79632F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2FD656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28</w:t>
            </w:r>
          </w:p>
        </w:tc>
        <w:tc>
          <w:tcPr>
            <w:tcW w:w="8164" w:type="dxa"/>
            <w:tcMar>
              <w:top w:w="108" w:type="dxa"/>
              <w:left w:w="108" w:type="dxa"/>
              <w:bottom w:w="108" w:type="dxa"/>
              <w:right w:w="108" w:type="dxa"/>
            </w:tcMar>
            <w:vAlign w:val="center"/>
          </w:tcPr>
          <w:p w14:paraId="19F40E5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申办者暂停或者提前终止实施中的临床试验的，应当及时书面告知主要研究者和机构、伦理审查委员会，并说明理由。</w:t>
            </w:r>
          </w:p>
        </w:tc>
        <w:tc>
          <w:tcPr>
            <w:tcW w:w="3685" w:type="dxa"/>
            <w:tcMar>
              <w:top w:w="108" w:type="dxa"/>
              <w:left w:w="108" w:type="dxa"/>
              <w:bottom w:w="108" w:type="dxa"/>
              <w:right w:w="108" w:type="dxa"/>
            </w:tcMar>
            <w:vAlign w:val="center"/>
          </w:tcPr>
          <w:p w14:paraId="239AAC3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《药物临床试验质量管理规范（2026年修订）》第五十条</w:t>
            </w:r>
          </w:p>
        </w:tc>
      </w:tr>
      <w:tr w14:paraId="765B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2A8C20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2F6BA9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29</w:t>
            </w:r>
          </w:p>
        </w:tc>
        <w:tc>
          <w:tcPr>
            <w:tcW w:w="8164" w:type="dxa"/>
            <w:tcMar>
              <w:top w:w="108" w:type="dxa"/>
              <w:left w:w="108" w:type="dxa"/>
              <w:bottom w:w="108" w:type="dxa"/>
              <w:right w:w="108" w:type="dxa"/>
            </w:tcMar>
            <w:vAlign w:val="center"/>
          </w:tcPr>
          <w:p w14:paraId="6A57205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应当建立药物警戒体系，按照药物警戒质量管理规范开展药物警戒工作，开展药品上市后不良反应监测，主动收集、跟踪分析疑似药品不良反应信息，对已识别风险的药品及时采取风险控制措施。</w:t>
            </w:r>
          </w:p>
        </w:tc>
        <w:tc>
          <w:tcPr>
            <w:tcW w:w="3685" w:type="dxa"/>
            <w:tcMar>
              <w:top w:w="108" w:type="dxa"/>
              <w:left w:w="108" w:type="dxa"/>
              <w:bottom w:w="108" w:type="dxa"/>
              <w:right w:w="108" w:type="dxa"/>
            </w:tcMar>
            <w:vAlign w:val="center"/>
          </w:tcPr>
          <w:p w14:paraId="2573690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《药品管理法》第十二条、第八十条；《药物警戒质量管理规范》</w:t>
            </w:r>
          </w:p>
        </w:tc>
      </w:tr>
      <w:tr w14:paraId="0414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3371065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登记公示与核查检查</w:t>
            </w:r>
          </w:p>
        </w:tc>
        <w:tc>
          <w:tcPr>
            <w:tcW w:w="680" w:type="dxa"/>
            <w:tcMar>
              <w:top w:w="108" w:type="dxa"/>
              <w:left w:w="108" w:type="dxa"/>
              <w:bottom w:w="108" w:type="dxa"/>
              <w:right w:w="108" w:type="dxa"/>
            </w:tcMar>
            <w:vAlign w:val="center"/>
          </w:tcPr>
          <w:p w14:paraId="62ADFE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30</w:t>
            </w:r>
          </w:p>
        </w:tc>
        <w:tc>
          <w:tcPr>
            <w:tcW w:w="8164" w:type="dxa"/>
            <w:tcMar>
              <w:top w:w="108" w:type="dxa"/>
              <w:left w:w="108" w:type="dxa"/>
              <w:bottom w:w="108" w:type="dxa"/>
              <w:right w:w="108" w:type="dxa"/>
            </w:tcMar>
            <w:vAlign w:val="center"/>
          </w:tcPr>
          <w:p w14:paraId="04DBC06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应当按照《药物临床试验登记与信息公示管理规范（试行）》要求，在药物临床试验登记与信息公示平台登记临床试验信息，保证登记信息真实、准确、完整、及时，并按规定更新试验进展和结果信息。</w:t>
            </w:r>
          </w:p>
        </w:tc>
        <w:tc>
          <w:tcPr>
            <w:tcW w:w="3685" w:type="dxa"/>
            <w:tcMar>
              <w:top w:w="108" w:type="dxa"/>
              <w:left w:w="108" w:type="dxa"/>
              <w:bottom w:w="108" w:type="dxa"/>
              <w:right w:w="108" w:type="dxa"/>
            </w:tcMar>
            <w:vAlign w:val="center"/>
          </w:tcPr>
          <w:p w14:paraId="434E213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《药物临床试验登记与信息公示管理规范（试行）》（药审中心2020年第9号通告）</w:t>
            </w:r>
          </w:p>
        </w:tc>
      </w:tr>
      <w:tr w14:paraId="5EA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1E791B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789FDC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31</w:t>
            </w:r>
          </w:p>
        </w:tc>
        <w:tc>
          <w:tcPr>
            <w:tcW w:w="8164" w:type="dxa"/>
            <w:tcMar>
              <w:top w:w="108" w:type="dxa"/>
              <w:left w:w="108" w:type="dxa"/>
              <w:bottom w:w="108" w:type="dxa"/>
              <w:right w:w="108" w:type="dxa"/>
            </w:tcMar>
            <w:vAlign w:val="center"/>
          </w:tcPr>
          <w:p w14:paraId="1F8C096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接受药品注册核查的，应当配合核查组开展现场核查，如实提供申报资料、原始记录和相关文件；配合对合同研究组织、试验用药品制备条件的延伸核查和试验用药品抽查检验；对核查发现的缺陷进行整改。</w:t>
            </w:r>
          </w:p>
        </w:tc>
        <w:tc>
          <w:tcPr>
            <w:tcW w:w="3685" w:type="dxa"/>
            <w:tcMar>
              <w:top w:w="108" w:type="dxa"/>
              <w:left w:w="108" w:type="dxa"/>
              <w:bottom w:w="108" w:type="dxa"/>
              <w:right w:w="108" w:type="dxa"/>
            </w:tcMar>
            <w:vAlign w:val="center"/>
          </w:tcPr>
          <w:p w14:paraId="4575C75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《药品注册核查工作程序（试行）》（核查中心2021年第30号通告）；《药品注册核查要点与判定原则（药物临床试验）（2026年修订）》</w:t>
            </w:r>
          </w:p>
        </w:tc>
      </w:tr>
      <w:tr w14:paraId="04D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4322236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0F8A3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32</w:t>
            </w:r>
          </w:p>
        </w:tc>
        <w:tc>
          <w:tcPr>
            <w:tcW w:w="8164" w:type="dxa"/>
            <w:tcMar>
              <w:top w:w="108" w:type="dxa"/>
              <w:left w:w="108" w:type="dxa"/>
              <w:bottom w:w="108" w:type="dxa"/>
              <w:right w:w="108" w:type="dxa"/>
            </w:tcMar>
            <w:vAlign w:val="center"/>
          </w:tcPr>
          <w:p w14:paraId="0F90DEF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接受药品监督管理部门对药物临床试验活动的监督检查，如实说明情况，提供有关材料，不得拒绝、阻碍、隐瞒或者提供虚假材料。</w:t>
            </w:r>
          </w:p>
        </w:tc>
        <w:tc>
          <w:tcPr>
            <w:tcW w:w="3685" w:type="dxa"/>
            <w:tcMar>
              <w:top w:w="108" w:type="dxa"/>
              <w:left w:w="108" w:type="dxa"/>
              <w:bottom w:w="108" w:type="dxa"/>
              <w:right w:w="108" w:type="dxa"/>
            </w:tcMar>
            <w:vAlign w:val="center"/>
          </w:tcPr>
          <w:p w14:paraId="6C0A1D3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《药品管理法》第九十九条；《药品管理法实施条例》第八十二条；《药物临床试验机构监督检查办法（试行）》</w:t>
            </w:r>
          </w:p>
        </w:tc>
      </w:tr>
      <w:tr w14:paraId="229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4A76C0C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附条件批准与上市后衔接</w:t>
            </w:r>
          </w:p>
        </w:tc>
        <w:tc>
          <w:tcPr>
            <w:tcW w:w="680" w:type="dxa"/>
            <w:tcMar>
              <w:top w:w="108" w:type="dxa"/>
              <w:left w:w="108" w:type="dxa"/>
              <w:bottom w:w="108" w:type="dxa"/>
              <w:right w:w="108" w:type="dxa"/>
            </w:tcMar>
            <w:vAlign w:val="center"/>
          </w:tcPr>
          <w:p w14:paraId="098F41E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33</w:t>
            </w:r>
          </w:p>
        </w:tc>
        <w:tc>
          <w:tcPr>
            <w:tcW w:w="8164" w:type="dxa"/>
            <w:tcMar>
              <w:top w:w="108" w:type="dxa"/>
              <w:left w:w="108" w:type="dxa"/>
              <w:bottom w:w="108" w:type="dxa"/>
              <w:right w:w="108" w:type="dxa"/>
            </w:tcMar>
            <w:vAlign w:val="center"/>
          </w:tcPr>
          <w:p w14:paraId="5CD4DCD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对附条件批准的药品，应当采取相应风险管理措施，并在规定期限内按照要求完成相关研究（确证性研究），完成时限自附条件批准上市之日起原则上不超过4年。</w:t>
            </w:r>
          </w:p>
        </w:tc>
        <w:tc>
          <w:tcPr>
            <w:tcW w:w="3685" w:type="dxa"/>
            <w:tcMar>
              <w:top w:w="108" w:type="dxa"/>
              <w:left w:w="108" w:type="dxa"/>
              <w:bottom w:w="108" w:type="dxa"/>
              <w:right w:w="108" w:type="dxa"/>
            </w:tcMar>
            <w:vAlign w:val="center"/>
          </w:tcPr>
          <w:p w14:paraId="5F6F827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《药品管理法》第七十八条；《药品附条件批准上市申请审评审批工作程序（试行）》（2026年第41号公告）</w:t>
            </w:r>
          </w:p>
        </w:tc>
      </w:tr>
      <w:tr w14:paraId="3A7F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78790A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5A2D87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34</w:t>
            </w:r>
          </w:p>
        </w:tc>
        <w:tc>
          <w:tcPr>
            <w:tcW w:w="8164" w:type="dxa"/>
            <w:tcMar>
              <w:top w:w="108" w:type="dxa"/>
              <w:left w:w="108" w:type="dxa"/>
              <w:bottom w:w="108" w:type="dxa"/>
              <w:right w:w="108" w:type="dxa"/>
            </w:tcMar>
            <w:vAlign w:val="center"/>
          </w:tcPr>
          <w:p w14:paraId="64FD7DF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药品附条件批准上市后，自附条件批准上市起，研发期间每年向药审中心报告确证性研究进展，随安全性更新报告一并提交，同时抄报持有人或者境内责任人所在地省级药品监督管理部门。</w:t>
            </w:r>
          </w:p>
        </w:tc>
        <w:tc>
          <w:tcPr>
            <w:tcW w:w="3685" w:type="dxa"/>
            <w:tcMar>
              <w:top w:w="108" w:type="dxa"/>
              <w:left w:w="108" w:type="dxa"/>
              <w:bottom w:w="108" w:type="dxa"/>
              <w:right w:w="108" w:type="dxa"/>
            </w:tcMar>
            <w:vAlign w:val="center"/>
          </w:tcPr>
          <w:p w14:paraId="0C89622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《药品附条件批准上市申请审评审批工作程序（试行）》（2026年第41号公告）</w:t>
            </w:r>
          </w:p>
        </w:tc>
      </w:tr>
      <w:tr w14:paraId="0CE8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1C821B0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03B981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35</w:t>
            </w:r>
          </w:p>
        </w:tc>
        <w:tc>
          <w:tcPr>
            <w:tcW w:w="8164" w:type="dxa"/>
            <w:tcMar>
              <w:top w:w="108" w:type="dxa"/>
              <w:left w:w="108" w:type="dxa"/>
              <w:bottom w:w="108" w:type="dxa"/>
              <w:right w:w="108" w:type="dxa"/>
            </w:tcMar>
            <w:vAlign w:val="center"/>
          </w:tcPr>
          <w:p w14:paraId="091B169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无法按期完成确证性研究的，应当在研究时限届满前申报申请延期的补充申请（原则上不超过一次）；在研究时限届满前，应当及时申报转为常规批准的补充申请；未按要求提交转为常规批准注册申请或者审评不通过的，按程序注销药品注册证书或者核减适应症。</w:t>
            </w:r>
          </w:p>
        </w:tc>
        <w:tc>
          <w:tcPr>
            <w:tcW w:w="3685" w:type="dxa"/>
            <w:tcMar>
              <w:top w:w="108" w:type="dxa"/>
              <w:left w:w="108" w:type="dxa"/>
              <w:bottom w:w="108" w:type="dxa"/>
              <w:right w:w="108" w:type="dxa"/>
            </w:tcMar>
            <w:vAlign w:val="center"/>
          </w:tcPr>
          <w:p w14:paraId="6F7B54B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《药品附条件批准上市申请审评审批工作程序（试行）》（2026年第41号公告）</w:t>
            </w:r>
          </w:p>
        </w:tc>
      </w:tr>
    </w:tbl>
    <w:p w14:paraId="6838D9D2">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eastAsia" w:ascii="黑体" w:hAnsi="黑体" w:eastAsia="黑体" w:cs="黑体"/>
          <w:b w:val="0"/>
          <w:bCs/>
          <w:sz w:val="32"/>
        </w:rPr>
      </w:pPr>
      <w:r>
        <w:br w:type="page"/>
      </w:r>
      <w:r>
        <w:rPr>
          <w:rFonts w:hint="eastAsia" w:ascii="黑体" w:hAnsi="黑体" w:eastAsia="黑体" w:cs="黑体"/>
          <w:b w:val="0"/>
          <w:bCs/>
          <w:sz w:val="32"/>
        </w:rPr>
        <w:t>表3：伦理审查委员会主体责任清单</w:t>
      </w:r>
    </w:p>
    <w:tbl>
      <w:tblPr>
        <w:tblStyle w:val="33"/>
        <w:tblW w:w="14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680"/>
        <w:gridCol w:w="8164"/>
        <w:gridCol w:w="3685"/>
      </w:tblGrid>
      <w:tr w14:paraId="4851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tcMar>
              <w:top w:w="108" w:type="dxa"/>
              <w:left w:w="108" w:type="dxa"/>
              <w:bottom w:w="108" w:type="dxa"/>
              <w:right w:w="108" w:type="dxa"/>
            </w:tcMar>
            <w:vAlign w:val="center"/>
          </w:tcPr>
          <w:p w14:paraId="296BEA4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项目</w:t>
            </w:r>
          </w:p>
        </w:tc>
        <w:tc>
          <w:tcPr>
            <w:tcW w:w="680" w:type="dxa"/>
            <w:tcMar>
              <w:top w:w="108" w:type="dxa"/>
              <w:left w:w="108" w:type="dxa"/>
              <w:bottom w:w="108" w:type="dxa"/>
              <w:right w:w="108" w:type="dxa"/>
            </w:tcMar>
            <w:vAlign w:val="center"/>
          </w:tcPr>
          <w:p w14:paraId="39DF15B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序号</w:t>
            </w:r>
          </w:p>
        </w:tc>
        <w:tc>
          <w:tcPr>
            <w:tcW w:w="8164" w:type="dxa"/>
            <w:tcMar>
              <w:top w:w="108" w:type="dxa"/>
              <w:left w:w="108" w:type="dxa"/>
              <w:bottom w:w="108" w:type="dxa"/>
              <w:right w:w="108" w:type="dxa"/>
            </w:tcMar>
            <w:vAlign w:val="center"/>
          </w:tcPr>
          <w:p w14:paraId="13D83D4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主体责任</w:t>
            </w:r>
          </w:p>
        </w:tc>
        <w:tc>
          <w:tcPr>
            <w:tcW w:w="3685" w:type="dxa"/>
            <w:tcMar>
              <w:top w:w="108" w:type="dxa"/>
              <w:left w:w="108" w:type="dxa"/>
              <w:bottom w:w="108" w:type="dxa"/>
              <w:right w:w="108" w:type="dxa"/>
            </w:tcMar>
            <w:vAlign w:val="center"/>
          </w:tcPr>
          <w:p w14:paraId="594F85D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责任依据</w:t>
            </w:r>
          </w:p>
        </w:tc>
      </w:tr>
      <w:tr w14:paraId="2071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814" w:type="dxa"/>
            <w:vMerge w:val="restart"/>
            <w:tcMar>
              <w:top w:w="108" w:type="dxa"/>
              <w:left w:w="108" w:type="dxa"/>
              <w:bottom w:w="108" w:type="dxa"/>
              <w:right w:w="108" w:type="dxa"/>
            </w:tcMar>
            <w:vAlign w:val="center"/>
          </w:tcPr>
          <w:p w14:paraId="2DA08E8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伦理审查职责</w:t>
            </w:r>
          </w:p>
        </w:tc>
        <w:tc>
          <w:tcPr>
            <w:tcW w:w="680" w:type="dxa"/>
            <w:tcMar>
              <w:top w:w="108" w:type="dxa"/>
              <w:left w:w="108" w:type="dxa"/>
              <w:bottom w:w="108" w:type="dxa"/>
              <w:right w:w="108" w:type="dxa"/>
            </w:tcMar>
            <w:vAlign w:val="center"/>
          </w:tcPr>
          <w:p w14:paraId="6374282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1</w:t>
            </w:r>
          </w:p>
        </w:tc>
        <w:tc>
          <w:tcPr>
            <w:tcW w:w="8164" w:type="dxa"/>
            <w:tcMar>
              <w:top w:w="108" w:type="dxa"/>
              <w:left w:w="108" w:type="dxa"/>
              <w:bottom w:w="108" w:type="dxa"/>
              <w:right w:w="108" w:type="dxa"/>
            </w:tcMar>
            <w:vAlign w:val="center"/>
          </w:tcPr>
          <w:p w14:paraId="5845EA1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伦理审查委员会的职责是保护试验参与者的权益和安全，应当对临床试验的伦理性和科学性进行审查，并特别关注弱势试验参与者的保护；开展伦理审查工作应当符合卫生健康主管部门有关规定及GCP要求。</w:t>
            </w:r>
          </w:p>
        </w:tc>
        <w:tc>
          <w:tcPr>
            <w:tcW w:w="3685" w:type="dxa"/>
            <w:tcMar>
              <w:top w:w="108" w:type="dxa"/>
              <w:left w:w="108" w:type="dxa"/>
              <w:bottom w:w="108" w:type="dxa"/>
              <w:right w:w="108" w:type="dxa"/>
            </w:tcMar>
            <w:vAlign w:val="center"/>
          </w:tcPr>
          <w:p w14:paraId="2352AC9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《药物临床试验质量管理规范（2026年修订）》第十四条；《涉及人的生命科学和医学研究伦理审查办法》（国卫科教发〔2023〕4号）</w:t>
            </w:r>
          </w:p>
        </w:tc>
      </w:tr>
      <w:tr w14:paraId="5EB2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3586" w:type="dxa"/>
            <w:vMerge w:val="continue"/>
            <w:tcMar>
              <w:top w:w="108" w:type="dxa"/>
              <w:left w:w="108" w:type="dxa"/>
              <w:bottom w:w="108" w:type="dxa"/>
              <w:right w:w="108" w:type="dxa"/>
            </w:tcMar>
            <w:vAlign w:val="center"/>
          </w:tcPr>
          <w:p w14:paraId="567C31C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3243568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2</w:t>
            </w:r>
          </w:p>
        </w:tc>
        <w:tc>
          <w:tcPr>
            <w:tcW w:w="8164" w:type="dxa"/>
            <w:tcMar>
              <w:top w:w="108" w:type="dxa"/>
              <w:left w:w="108" w:type="dxa"/>
              <w:bottom w:w="108" w:type="dxa"/>
              <w:right w:w="108" w:type="dxa"/>
            </w:tcMar>
            <w:vAlign w:val="center"/>
          </w:tcPr>
          <w:p w14:paraId="2C715AD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审查的文件包括：试验方案、知情同意书、招募试验参与者的方式和信息、提供给试验参与者的其他资料、研究者手册及当前的科学信息、安全性资料、包含试验参与者补偿信息的文件、主要研究者资质证明文件、重要方案偏离报告、进展和结题报告，以及履行职责所需要的其他文件等。</w:t>
            </w:r>
          </w:p>
        </w:tc>
        <w:tc>
          <w:tcPr>
            <w:tcW w:w="3685" w:type="dxa"/>
            <w:tcMar>
              <w:top w:w="108" w:type="dxa"/>
              <w:left w:w="108" w:type="dxa"/>
              <w:bottom w:w="108" w:type="dxa"/>
              <w:right w:w="108" w:type="dxa"/>
            </w:tcMar>
            <w:vAlign w:val="center"/>
          </w:tcPr>
          <w:p w14:paraId="328D4DC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w:t>
            </w:r>
          </w:p>
        </w:tc>
      </w:tr>
      <w:tr w14:paraId="032F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3586" w:type="dxa"/>
            <w:vMerge w:val="continue"/>
            <w:tcMar>
              <w:top w:w="108" w:type="dxa"/>
              <w:left w:w="108" w:type="dxa"/>
              <w:bottom w:w="108" w:type="dxa"/>
              <w:right w:w="108" w:type="dxa"/>
            </w:tcMar>
            <w:vAlign w:val="center"/>
          </w:tcPr>
          <w:p w14:paraId="3F80EA7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33E067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3</w:t>
            </w:r>
          </w:p>
        </w:tc>
        <w:tc>
          <w:tcPr>
            <w:tcW w:w="8164" w:type="dxa"/>
            <w:tcMar>
              <w:top w:w="108" w:type="dxa"/>
              <w:left w:w="108" w:type="dxa"/>
              <w:bottom w:w="108" w:type="dxa"/>
              <w:right w:w="108" w:type="dxa"/>
            </w:tcMar>
            <w:vAlign w:val="center"/>
          </w:tcPr>
          <w:p w14:paraId="63613D9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重点关注并及时审查：临床试验中主要研究者报告的严重不良事件，实施过程中为消除对试验参与者紧急危害的方案偏离或者修改，严重、持续的不依从问题，增加试验参与者风险或者显著影响试验实施的改变，可能对试验参与者安全或者试验实施产生不利影响的新信息。</w:t>
            </w:r>
          </w:p>
        </w:tc>
        <w:tc>
          <w:tcPr>
            <w:tcW w:w="3685" w:type="dxa"/>
            <w:tcMar>
              <w:top w:w="108" w:type="dxa"/>
              <w:left w:w="108" w:type="dxa"/>
              <w:bottom w:w="108" w:type="dxa"/>
              <w:right w:w="108" w:type="dxa"/>
            </w:tcMar>
            <w:vAlign w:val="center"/>
          </w:tcPr>
          <w:p w14:paraId="0A32BD9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w:t>
            </w:r>
          </w:p>
        </w:tc>
      </w:tr>
      <w:tr w14:paraId="1589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586" w:type="dxa"/>
            <w:vMerge w:val="continue"/>
            <w:tcMar>
              <w:top w:w="108" w:type="dxa"/>
              <w:left w:w="108" w:type="dxa"/>
              <w:bottom w:w="108" w:type="dxa"/>
              <w:right w:w="108" w:type="dxa"/>
            </w:tcMar>
            <w:vAlign w:val="center"/>
          </w:tcPr>
          <w:p w14:paraId="189A72D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51CD56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4</w:t>
            </w:r>
          </w:p>
        </w:tc>
        <w:tc>
          <w:tcPr>
            <w:tcW w:w="8164" w:type="dxa"/>
            <w:tcMar>
              <w:top w:w="108" w:type="dxa"/>
              <w:left w:w="108" w:type="dxa"/>
              <w:bottom w:w="108" w:type="dxa"/>
              <w:right w:w="108" w:type="dxa"/>
            </w:tcMar>
            <w:vAlign w:val="center"/>
          </w:tcPr>
          <w:p w14:paraId="464BB4C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应当对正在实施的临床试验定期跟踪审查，审查频率应当根据试验的风险程度而定，时间间隔不超过12个月。</w:t>
            </w:r>
          </w:p>
        </w:tc>
        <w:tc>
          <w:tcPr>
            <w:tcW w:w="3685" w:type="dxa"/>
            <w:tcMar>
              <w:top w:w="108" w:type="dxa"/>
              <w:left w:w="108" w:type="dxa"/>
              <w:bottom w:w="108" w:type="dxa"/>
              <w:right w:w="108" w:type="dxa"/>
            </w:tcMar>
            <w:vAlign w:val="center"/>
          </w:tcPr>
          <w:p w14:paraId="3D4A064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w:t>
            </w:r>
          </w:p>
        </w:tc>
      </w:tr>
      <w:tr w14:paraId="451F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3586" w:type="dxa"/>
            <w:vMerge w:val="continue"/>
            <w:tcMar>
              <w:top w:w="108" w:type="dxa"/>
              <w:left w:w="108" w:type="dxa"/>
              <w:bottom w:w="108" w:type="dxa"/>
              <w:right w:w="108" w:type="dxa"/>
            </w:tcMar>
            <w:vAlign w:val="center"/>
          </w:tcPr>
          <w:p w14:paraId="7442C40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0876471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5</w:t>
            </w:r>
          </w:p>
        </w:tc>
        <w:tc>
          <w:tcPr>
            <w:tcW w:w="8164" w:type="dxa"/>
            <w:tcMar>
              <w:top w:w="108" w:type="dxa"/>
              <w:left w:w="108" w:type="dxa"/>
              <w:bottom w:w="108" w:type="dxa"/>
              <w:right w:w="108" w:type="dxa"/>
            </w:tcMar>
            <w:vAlign w:val="center"/>
          </w:tcPr>
          <w:p w14:paraId="6049830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在合理的时限内完成临床试验相关资料的审查或者备案流程，并给出包含审查文件版本信息的明确书面审查意见或者备案回执；审查意见包括：批准、不批准、修改后批准、修改后再审、继续研究、暂停或者终止研究。</w:t>
            </w:r>
          </w:p>
        </w:tc>
        <w:tc>
          <w:tcPr>
            <w:tcW w:w="3685" w:type="dxa"/>
            <w:tcMar>
              <w:top w:w="108" w:type="dxa"/>
              <w:left w:w="108" w:type="dxa"/>
              <w:bottom w:w="108" w:type="dxa"/>
              <w:right w:w="108" w:type="dxa"/>
            </w:tcMar>
            <w:vAlign w:val="center"/>
          </w:tcPr>
          <w:p w14:paraId="2AF21B0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w:t>
            </w:r>
          </w:p>
        </w:tc>
      </w:tr>
      <w:tr w14:paraId="0FCC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tcMar>
              <w:top w:w="108" w:type="dxa"/>
              <w:left w:w="108" w:type="dxa"/>
              <w:bottom w:w="108" w:type="dxa"/>
              <w:right w:w="108" w:type="dxa"/>
            </w:tcMar>
            <w:vAlign w:val="center"/>
          </w:tcPr>
          <w:p w14:paraId="77B568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制度与记录管理</w:t>
            </w:r>
          </w:p>
        </w:tc>
        <w:tc>
          <w:tcPr>
            <w:tcW w:w="680" w:type="dxa"/>
            <w:tcMar>
              <w:top w:w="108" w:type="dxa"/>
              <w:left w:w="108" w:type="dxa"/>
              <w:bottom w:w="108" w:type="dxa"/>
              <w:right w:w="108" w:type="dxa"/>
            </w:tcMar>
            <w:vAlign w:val="center"/>
          </w:tcPr>
          <w:p w14:paraId="0775B64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6</w:t>
            </w:r>
          </w:p>
        </w:tc>
        <w:tc>
          <w:tcPr>
            <w:tcW w:w="8164" w:type="dxa"/>
            <w:tcMar>
              <w:top w:w="108" w:type="dxa"/>
              <w:left w:w="108" w:type="dxa"/>
              <w:bottom w:w="108" w:type="dxa"/>
              <w:right w:w="108" w:type="dxa"/>
            </w:tcMar>
            <w:vAlign w:val="center"/>
          </w:tcPr>
          <w:p w14:paraId="0B4EC7A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应当建立伦理审查工作制度、标准操作规程，健全利益冲突管理机制和伦理审查质量控制机制，保证伦理审查过程独立、客观、公正。</w:t>
            </w:r>
          </w:p>
        </w:tc>
        <w:tc>
          <w:tcPr>
            <w:tcW w:w="3685" w:type="dxa"/>
            <w:tcMar>
              <w:top w:w="108" w:type="dxa"/>
              <w:left w:w="108" w:type="dxa"/>
              <w:bottom w:w="108" w:type="dxa"/>
              <w:right w:w="108" w:type="dxa"/>
            </w:tcMar>
            <w:vAlign w:val="center"/>
          </w:tcPr>
          <w:p w14:paraId="7A633DE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《药物临床试验质量管理规范（2026年修订）》第十五条</w:t>
            </w:r>
          </w:p>
        </w:tc>
      </w:tr>
      <w:tr w14:paraId="6857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0E2305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613730B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7</w:t>
            </w:r>
          </w:p>
        </w:tc>
        <w:tc>
          <w:tcPr>
            <w:tcW w:w="8164" w:type="dxa"/>
            <w:tcMar>
              <w:top w:w="108" w:type="dxa"/>
              <w:left w:w="108" w:type="dxa"/>
              <w:bottom w:w="108" w:type="dxa"/>
              <w:right w:w="108" w:type="dxa"/>
            </w:tcMar>
            <w:vAlign w:val="center"/>
          </w:tcPr>
          <w:p w14:paraId="66363CA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保留伦理审查的全部记录，包括书面记录、委员信息、递交的文件、会议记录和相关往来记录等；用于申请药品注册的临床试验，所有记录应当至少保存至试验药物被批准上市后5年；试验药物未被批准以及未用于申请药品注册的，至少保存至临床试验终止后5年。</w:t>
            </w:r>
          </w:p>
        </w:tc>
        <w:tc>
          <w:tcPr>
            <w:tcW w:w="3685" w:type="dxa"/>
            <w:tcMar>
              <w:top w:w="108" w:type="dxa"/>
              <w:left w:w="108" w:type="dxa"/>
              <w:bottom w:w="108" w:type="dxa"/>
              <w:right w:w="108" w:type="dxa"/>
            </w:tcMar>
            <w:vAlign w:val="center"/>
          </w:tcPr>
          <w:p w14:paraId="5D67FE1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《药物临床试验质量管理规范（2026年修订）》第十六条</w:t>
            </w:r>
          </w:p>
        </w:tc>
      </w:tr>
      <w:tr w14:paraId="3054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vMerge w:val="continue"/>
            <w:tcMar>
              <w:top w:w="108" w:type="dxa"/>
              <w:left w:w="108" w:type="dxa"/>
              <w:bottom w:w="108" w:type="dxa"/>
              <w:right w:w="108" w:type="dxa"/>
            </w:tcMar>
            <w:vAlign w:val="center"/>
          </w:tcPr>
          <w:p w14:paraId="6659BEA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p>
        </w:tc>
        <w:tc>
          <w:tcPr>
            <w:tcW w:w="680" w:type="dxa"/>
            <w:tcMar>
              <w:top w:w="108" w:type="dxa"/>
              <w:left w:w="108" w:type="dxa"/>
              <w:bottom w:w="108" w:type="dxa"/>
              <w:right w:w="108" w:type="dxa"/>
            </w:tcMar>
            <w:vAlign w:val="center"/>
          </w:tcPr>
          <w:p w14:paraId="16E5BF7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8</w:t>
            </w:r>
          </w:p>
        </w:tc>
        <w:tc>
          <w:tcPr>
            <w:tcW w:w="8164" w:type="dxa"/>
            <w:tcMar>
              <w:top w:w="108" w:type="dxa"/>
              <w:left w:w="108" w:type="dxa"/>
              <w:bottom w:w="108" w:type="dxa"/>
              <w:right w:w="108" w:type="dxa"/>
            </w:tcMar>
            <w:vAlign w:val="center"/>
          </w:tcPr>
          <w:p w14:paraId="610D8AA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应当受理并妥善处理试验参与者的相关诉求；及时向主要研究者和申办者提供相关书面审查文件。</w:t>
            </w:r>
          </w:p>
        </w:tc>
        <w:tc>
          <w:tcPr>
            <w:tcW w:w="3685" w:type="dxa"/>
            <w:tcMar>
              <w:top w:w="108" w:type="dxa"/>
              <w:left w:w="108" w:type="dxa"/>
              <w:bottom w:w="108" w:type="dxa"/>
              <w:right w:w="108" w:type="dxa"/>
            </w:tcMar>
            <w:vAlign w:val="center"/>
          </w:tcPr>
          <w:p w14:paraId="60448A5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sz w:val="21"/>
                <w:szCs w:val="21"/>
              </w:rPr>
              <w:t>《药物临床试验质量管理规范（2026年修订）》第十四条、第十七条</w:t>
            </w:r>
          </w:p>
        </w:tc>
      </w:tr>
    </w:tbl>
    <w:p w14:paraId="476BDD62">
      <w:pPr>
        <w:spacing w:before="160"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b w:val="0"/>
          <w:sz w:val="24"/>
          <w:szCs w:val="24"/>
        </w:rPr>
        <w:t>注：1.本清单所称“试验参与者”，即《中华人民共和国药品管理法》《中华人民共和国药品管理法实施条例》所称“受试者”（《药物临床试验质量管理规范（2026年修订）》第五十四条）。2.本清单条文中引用的《药物临床试验质量管理规范》条款序号按2026年修订版标注；2026年9月1日前适用《药物临床试验质量管理规范》（2020年第57号公告）相应条款。</w:t>
      </w:r>
    </w:p>
    <w:p w14:paraId="10A53475">
      <w:pPr>
        <w:rPr>
          <w:rFonts w:hint="default" w:ascii="Times New Roman" w:hAnsi="Times New Roman" w:eastAsia="仿宋" w:cs="Times New Roman"/>
        </w:rPr>
      </w:pPr>
    </w:p>
    <w:sectPr>
      <w:pgSz w:w="16838" w:h="11906" w:orient="landscape"/>
      <w:pgMar w:top="1417" w:right="1247" w:bottom="141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MS Mincho">
    <w:altName w:val="C059"/>
    <w:panose1 w:val="02020609040205080304"/>
    <w:charset w:val="80"/>
    <w:family w:val="roman"/>
    <w:pitch w:val="default"/>
    <w:sig w:usb0="00000000" w:usb1="00000000" w:usb2="00000010" w:usb3="00000000" w:csb0="4002009F" w:csb1="DFD70000"/>
  </w:font>
  <w:font w:name="ＭＳ 明朝">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S Gothic">
    <w:altName w:val="C059"/>
    <w:panose1 w:val="020B0609070205080204"/>
    <w:charset w:val="80"/>
    <w:family w:val="modern"/>
    <w:pitch w:val="default"/>
    <w:sig w:usb0="00000000" w:usb1="00000000" w:usb2="08000012" w:usb3="00000000" w:csb0="4002009F" w:csb1="DFD7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Wingdings 3">
    <w:panose1 w:val="050401020108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decimal"/>
      <w:pStyle w:val="20"/>
      <w:lvlText w:val="%1."/>
      <w:lvlJc w:val="left"/>
      <w:pPr>
        <w:tabs>
          <w:tab w:val="left" w:pos="1080"/>
        </w:tabs>
        <w:ind w:left="1080" w:hanging="360"/>
      </w:pPr>
    </w:lvl>
  </w:abstractNum>
  <w:abstractNum w:abstractNumId="1">
    <w:nsid w:val="00000003"/>
    <w:multiLevelType w:val="singleLevel"/>
    <w:tmpl w:val="00000003"/>
    <w:lvl w:ilvl="0" w:tentative="0">
      <w:start w:val="1"/>
      <w:numFmt w:val="decimal"/>
      <w:pStyle w:val="13"/>
      <w:lvlText w:val="%1."/>
      <w:lvlJc w:val="left"/>
      <w:pPr>
        <w:tabs>
          <w:tab w:val="left" w:pos="720"/>
        </w:tabs>
        <w:ind w:left="720" w:hanging="360"/>
      </w:pPr>
    </w:lvl>
  </w:abstractNum>
  <w:abstractNum w:abstractNumId="2">
    <w:nsid w:val="00000005"/>
    <w:multiLevelType w:val="singleLevel"/>
    <w:tmpl w:val="00000005"/>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00000006"/>
    <w:multiLevelType w:val="singleLevel"/>
    <w:tmpl w:val="00000006"/>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00000007"/>
    <w:multiLevelType w:val="singleLevel"/>
    <w:tmpl w:val="00000007"/>
    <w:lvl w:ilvl="0" w:tentative="0">
      <w:start w:val="1"/>
      <w:numFmt w:val="decimal"/>
      <w:pStyle w:val="14"/>
      <w:lvlText w:val="%1."/>
      <w:lvlJc w:val="left"/>
      <w:pPr>
        <w:tabs>
          <w:tab w:val="left" w:pos="360"/>
        </w:tabs>
        <w:ind w:left="360" w:hanging="360"/>
      </w:pPr>
    </w:lvl>
  </w:abstractNum>
  <w:abstractNum w:abstractNumId="5">
    <w:nsid w:val="00000008"/>
    <w:multiLevelType w:val="singleLevel"/>
    <w:tmpl w:val="00000008"/>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26A1E"/>
    <w:rsid w:val="0CA9422C"/>
    <w:rsid w:val="0F6A09CF"/>
    <w:rsid w:val="11173B80"/>
    <w:rsid w:val="26636B7F"/>
    <w:rsid w:val="2F6D2842"/>
    <w:rsid w:val="3B717ADB"/>
    <w:rsid w:val="43521A29"/>
    <w:rsid w:val="632E2B35"/>
    <w:rsid w:val="70D9CF8B"/>
    <w:rsid w:val="764F473B"/>
    <w:rsid w:val="79FFBBE8"/>
    <w:rsid w:val="B2B221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MS Mincho"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99" w:semiHidden="0" w:name="macro"/>
    <w:lsdException w:unhideWhenUsed="0" w:uiPriority="0"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nhideWhenUsed="0" w:uiPriority="0" w:semiHidden="0" w:name="List 4"/>
    <w:lsdException w:unhideWhenUsed="0" w:uiPriority="0" w:semiHidden="0" w:name="List 5"/>
    <w:lsdException w:qFormat="1" w:unhideWhenUsed="0" w:uiPriority="99" w:semiHidden="0" w:name="List Bullet 2"/>
    <w:lsdException w:qFormat="1" w:unhideWhenUsed="0" w:uiPriority="99" w:semiHidden="0" w:name="List Bullet 3"/>
    <w:lsdException w:unhideWhenUsed="0" w:uiPriority="0"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宋体"/>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Calibri" w:hAnsi="Calibri" w:eastAsia="MS Gothic" w:cs="宋体"/>
      <w:b/>
      <w:bCs/>
      <w:color w:val="365F91"/>
      <w:sz w:val="28"/>
      <w:szCs w:val="28"/>
    </w:rPr>
  </w:style>
  <w:style w:type="paragraph" w:styleId="4">
    <w:name w:val="heading 2"/>
    <w:basedOn w:val="1"/>
    <w:next w:val="1"/>
    <w:link w:val="139"/>
    <w:qFormat/>
    <w:uiPriority w:val="9"/>
    <w:pPr>
      <w:keepNext/>
      <w:keepLines/>
      <w:spacing w:before="200" w:after="0"/>
      <w:outlineLvl w:val="1"/>
    </w:pPr>
    <w:rPr>
      <w:rFonts w:ascii="Calibri" w:hAnsi="Calibri" w:eastAsia="MS Gothic" w:cs="宋体"/>
      <w:b/>
      <w:bCs/>
      <w:color w:val="4F81BD"/>
      <w:sz w:val="26"/>
      <w:szCs w:val="26"/>
    </w:rPr>
  </w:style>
  <w:style w:type="paragraph" w:styleId="5">
    <w:name w:val="heading 3"/>
    <w:basedOn w:val="1"/>
    <w:next w:val="1"/>
    <w:link w:val="140"/>
    <w:qFormat/>
    <w:uiPriority w:val="9"/>
    <w:pPr>
      <w:keepNext/>
      <w:keepLines/>
      <w:spacing w:before="200" w:after="0"/>
      <w:outlineLvl w:val="2"/>
    </w:pPr>
    <w:rPr>
      <w:rFonts w:ascii="Calibri" w:hAnsi="Calibri" w:eastAsia="MS Gothic" w:cs="宋体"/>
      <w:b/>
      <w:bCs/>
      <w:color w:val="4F81BD"/>
    </w:rPr>
  </w:style>
  <w:style w:type="paragraph" w:styleId="6">
    <w:name w:val="heading 4"/>
    <w:basedOn w:val="1"/>
    <w:next w:val="1"/>
    <w:link w:val="150"/>
    <w:qFormat/>
    <w:uiPriority w:val="9"/>
    <w:pPr>
      <w:keepNext/>
      <w:keepLines/>
      <w:spacing w:before="200" w:after="0"/>
      <w:outlineLvl w:val="3"/>
    </w:pPr>
    <w:rPr>
      <w:rFonts w:ascii="Calibri" w:hAnsi="Calibri" w:eastAsia="MS Gothic" w:cs="宋体"/>
      <w:b/>
      <w:bCs/>
      <w:i/>
      <w:iCs/>
      <w:color w:val="4F81BD"/>
    </w:rPr>
  </w:style>
  <w:style w:type="paragraph" w:styleId="7">
    <w:name w:val="heading 5"/>
    <w:basedOn w:val="1"/>
    <w:next w:val="1"/>
    <w:link w:val="151"/>
    <w:qFormat/>
    <w:uiPriority w:val="9"/>
    <w:pPr>
      <w:keepNext/>
      <w:keepLines/>
      <w:spacing w:before="200" w:after="0"/>
      <w:outlineLvl w:val="4"/>
    </w:pPr>
    <w:rPr>
      <w:rFonts w:ascii="Calibri" w:hAnsi="Calibri" w:eastAsia="MS Gothic" w:cs="宋体"/>
      <w:color w:val="243F60"/>
    </w:rPr>
  </w:style>
  <w:style w:type="paragraph" w:styleId="8">
    <w:name w:val="heading 6"/>
    <w:basedOn w:val="1"/>
    <w:next w:val="1"/>
    <w:link w:val="152"/>
    <w:qFormat/>
    <w:uiPriority w:val="9"/>
    <w:pPr>
      <w:keepNext/>
      <w:keepLines/>
      <w:spacing w:before="200" w:after="0"/>
      <w:outlineLvl w:val="5"/>
    </w:pPr>
    <w:rPr>
      <w:rFonts w:ascii="Calibri" w:hAnsi="Calibri" w:eastAsia="MS Gothic" w:cs="宋体"/>
      <w:i/>
      <w:iCs/>
      <w:color w:val="243F60"/>
    </w:rPr>
  </w:style>
  <w:style w:type="paragraph" w:styleId="9">
    <w:name w:val="heading 7"/>
    <w:basedOn w:val="1"/>
    <w:next w:val="1"/>
    <w:link w:val="153"/>
    <w:qFormat/>
    <w:uiPriority w:val="9"/>
    <w:pPr>
      <w:keepNext/>
      <w:keepLines/>
      <w:spacing w:before="200" w:after="0"/>
      <w:outlineLvl w:val="6"/>
    </w:pPr>
    <w:rPr>
      <w:rFonts w:ascii="Calibri" w:hAnsi="Calibri" w:eastAsia="MS Gothic" w:cs="宋体"/>
      <w:i/>
      <w:iCs/>
      <w:color w:val="404040"/>
    </w:rPr>
  </w:style>
  <w:style w:type="paragraph" w:styleId="10">
    <w:name w:val="heading 8"/>
    <w:basedOn w:val="1"/>
    <w:next w:val="1"/>
    <w:link w:val="154"/>
    <w:qFormat/>
    <w:uiPriority w:val="9"/>
    <w:pPr>
      <w:keepNext/>
      <w:keepLines/>
      <w:spacing w:before="200" w:after="0"/>
      <w:outlineLvl w:val="7"/>
    </w:pPr>
    <w:rPr>
      <w:rFonts w:ascii="Calibri" w:hAnsi="Calibri" w:eastAsia="MS Gothic" w:cs="宋体"/>
      <w:color w:val="4F81BD"/>
      <w:sz w:val="20"/>
      <w:szCs w:val="20"/>
    </w:rPr>
  </w:style>
  <w:style w:type="paragraph" w:styleId="11">
    <w:name w:val="heading 9"/>
    <w:basedOn w:val="1"/>
    <w:next w:val="1"/>
    <w:link w:val="155"/>
    <w:qFormat/>
    <w:uiPriority w:val="9"/>
    <w:pPr>
      <w:keepNext/>
      <w:keepLines/>
      <w:spacing w:before="200" w:after="0"/>
      <w:outlineLvl w:val="8"/>
    </w:pPr>
    <w:rPr>
      <w:rFonts w:ascii="Calibri" w:hAnsi="Calibri" w:eastAsia="MS Gothic" w:cs="宋体"/>
      <w:i/>
      <w:iCs/>
      <w:color w:val="404040"/>
      <w:sz w:val="20"/>
      <w:szCs w:val="20"/>
    </w:rPr>
  </w:style>
  <w:style w:type="character" w:default="1" w:styleId="132">
    <w:name w:val="Default Paragraph Font"/>
    <w:qFormat/>
    <w:uiPriority w:val="1"/>
  </w:style>
  <w:style w:type="table" w:default="1" w:styleId="32">
    <w:name w:val="Normal Table"/>
    <w:qFormat/>
    <w:uiPriority w:val="99"/>
    <w:tblPr>
      <w:tblCellMar>
        <w:top w:w="0" w:type="dxa"/>
        <w:left w:w="108" w:type="dxa"/>
        <w:bottom w:w="0" w:type="dxa"/>
        <w:right w:w="108" w:type="dxa"/>
      </w:tblCellMar>
    </w:tblPr>
  </w:style>
  <w:style w:type="paragraph" w:styleId="2">
    <w:name w:val="macro"/>
    <w:link w:val="147"/>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MS Mincho" w:cs="宋体"/>
      <w:sz w:val="20"/>
      <w:szCs w:val="20"/>
      <w:lang w:val="en-US" w:eastAsia="en-US" w:bidi="ar-SA"/>
    </w:rPr>
  </w:style>
  <w:style w:type="paragraph" w:styleId="12">
    <w:name w:val="List 3"/>
    <w:basedOn w:val="1"/>
    <w:qFormat/>
    <w:uiPriority w:val="99"/>
    <w:pPr>
      <w:ind w:left="1080" w:hanging="360"/>
      <w:contextualSpacing/>
    </w:pPr>
  </w:style>
  <w:style w:type="paragraph" w:styleId="13">
    <w:name w:val="List Number 2"/>
    <w:basedOn w:val="1"/>
    <w:qFormat/>
    <w:uiPriority w:val="99"/>
    <w:pPr>
      <w:numPr>
        <w:ilvl w:val="0"/>
        <w:numId w:val="1"/>
      </w:numPr>
      <w:contextualSpacing/>
    </w:pPr>
  </w:style>
  <w:style w:type="paragraph" w:styleId="14">
    <w:name w:val="List Number"/>
    <w:basedOn w:val="1"/>
    <w:qFormat/>
    <w:uiPriority w:val="99"/>
    <w:pPr>
      <w:numPr>
        <w:ilvl w:val="0"/>
        <w:numId w:val="2"/>
      </w:numPr>
      <w:contextualSpacing/>
    </w:pPr>
  </w:style>
  <w:style w:type="paragraph" w:styleId="15">
    <w:name w:val="caption"/>
    <w:basedOn w:val="1"/>
    <w:next w:val="1"/>
    <w:qFormat/>
    <w:uiPriority w:val="35"/>
    <w:pPr>
      <w:spacing w:line="240" w:lineRule="auto"/>
    </w:pPr>
    <w:rPr>
      <w:b/>
      <w:bCs/>
      <w:color w:val="4F81BD"/>
      <w:sz w:val="18"/>
      <w:szCs w:val="18"/>
    </w:rPr>
  </w:style>
  <w:style w:type="paragraph" w:styleId="16">
    <w:name w:val="List Bullet"/>
    <w:basedOn w:val="1"/>
    <w:qFormat/>
    <w:uiPriority w:val="99"/>
    <w:pPr>
      <w:numPr>
        <w:ilvl w:val="0"/>
        <w:numId w:val="3"/>
      </w:numPr>
      <w:contextualSpacing/>
    </w:pPr>
  </w:style>
  <w:style w:type="paragraph" w:styleId="17">
    <w:name w:val="Body Text 3"/>
    <w:basedOn w:val="1"/>
    <w:link w:val="146"/>
    <w:qFormat/>
    <w:uiPriority w:val="99"/>
    <w:pPr>
      <w:spacing w:after="120"/>
    </w:pPr>
    <w:rPr>
      <w:sz w:val="16"/>
      <w:szCs w:val="16"/>
    </w:rPr>
  </w:style>
  <w:style w:type="paragraph" w:styleId="18">
    <w:name w:val="List Bullet 3"/>
    <w:basedOn w:val="1"/>
    <w:qFormat/>
    <w:uiPriority w:val="99"/>
    <w:pPr>
      <w:numPr>
        <w:ilvl w:val="0"/>
        <w:numId w:val="4"/>
      </w:numPr>
      <w:contextualSpacing/>
    </w:pPr>
  </w:style>
  <w:style w:type="paragraph" w:styleId="19">
    <w:name w:val="Body Text"/>
    <w:basedOn w:val="1"/>
    <w:link w:val="144"/>
    <w:qFormat/>
    <w:uiPriority w:val="99"/>
    <w:pPr>
      <w:spacing w:after="120"/>
    </w:pPr>
  </w:style>
  <w:style w:type="paragraph" w:styleId="20">
    <w:name w:val="List Number 3"/>
    <w:basedOn w:val="1"/>
    <w:qFormat/>
    <w:uiPriority w:val="99"/>
    <w:pPr>
      <w:numPr>
        <w:ilvl w:val="0"/>
        <w:numId w:val="5"/>
      </w:numPr>
      <w:contextualSpacing/>
    </w:pPr>
  </w:style>
  <w:style w:type="paragraph" w:styleId="21">
    <w:name w:val="List 2"/>
    <w:basedOn w:val="1"/>
    <w:qFormat/>
    <w:uiPriority w:val="99"/>
    <w:pPr>
      <w:ind w:left="720" w:hanging="360"/>
      <w:contextualSpacing/>
    </w:pPr>
  </w:style>
  <w:style w:type="paragraph" w:styleId="22">
    <w:name w:val="List Continue"/>
    <w:basedOn w:val="1"/>
    <w:qFormat/>
    <w:uiPriority w:val="99"/>
    <w:pPr>
      <w:spacing w:after="120"/>
      <w:ind w:left="360"/>
      <w:contextualSpacing/>
    </w:pPr>
  </w:style>
  <w:style w:type="paragraph" w:styleId="23">
    <w:name w:val="List Bullet 2"/>
    <w:basedOn w:val="1"/>
    <w:qFormat/>
    <w:uiPriority w:val="99"/>
    <w:pPr>
      <w:numPr>
        <w:ilvl w:val="0"/>
        <w:numId w:val="6"/>
      </w:numPr>
      <w:contextualSpacing/>
    </w:pPr>
  </w:style>
  <w:style w:type="paragraph" w:styleId="24">
    <w:name w:val="footer"/>
    <w:basedOn w:val="1"/>
    <w:link w:val="136"/>
    <w:qFormat/>
    <w:uiPriority w:val="99"/>
    <w:pPr>
      <w:tabs>
        <w:tab w:val="center" w:pos="4680"/>
        <w:tab w:val="right" w:pos="9360"/>
      </w:tabs>
      <w:spacing w:after="0" w:line="240" w:lineRule="auto"/>
    </w:pPr>
  </w:style>
  <w:style w:type="paragraph" w:styleId="25">
    <w:name w:val="header"/>
    <w:basedOn w:val="1"/>
    <w:link w:val="135"/>
    <w:qFormat/>
    <w:uiPriority w:val="99"/>
    <w:pPr>
      <w:tabs>
        <w:tab w:val="center" w:pos="4680"/>
        <w:tab w:val="right" w:pos="9360"/>
      </w:tabs>
      <w:spacing w:after="0" w:line="240" w:lineRule="auto"/>
    </w:pPr>
  </w:style>
  <w:style w:type="paragraph" w:styleId="26">
    <w:name w:val="Subtitle"/>
    <w:basedOn w:val="1"/>
    <w:next w:val="1"/>
    <w:link w:val="142"/>
    <w:qFormat/>
    <w:uiPriority w:val="11"/>
    <w:pPr>
      <w:numPr>
        <w:ilvl w:val="1"/>
        <w:numId w:val="0"/>
      </w:numPr>
    </w:pPr>
    <w:rPr>
      <w:rFonts w:ascii="Calibri" w:hAnsi="Calibri" w:eastAsia="MS Gothic" w:cs="宋体"/>
      <w:i/>
      <w:iCs/>
      <w:color w:val="4F81BD"/>
      <w:spacing w:val="15"/>
      <w:sz w:val="24"/>
      <w:szCs w:val="24"/>
    </w:rPr>
  </w:style>
  <w:style w:type="paragraph" w:styleId="27">
    <w:name w:val="List"/>
    <w:basedOn w:val="1"/>
    <w:qFormat/>
    <w:uiPriority w:val="99"/>
    <w:pPr>
      <w:ind w:left="360" w:hanging="360"/>
      <w:contextualSpacing/>
    </w:pPr>
  </w:style>
  <w:style w:type="paragraph" w:styleId="28">
    <w:name w:val="Body Text 2"/>
    <w:basedOn w:val="1"/>
    <w:link w:val="145"/>
    <w:qFormat/>
    <w:uiPriority w:val="99"/>
    <w:pPr>
      <w:spacing w:after="120" w:line="480" w:lineRule="auto"/>
    </w:pPr>
  </w:style>
  <w:style w:type="paragraph" w:styleId="29">
    <w:name w:val="List Continue 2"/>
    <w:basedOn w:val="1"/>
    <w:qFormat/>
    <w:uiPriority w:val="99"/>
    <w:pPr>
      <w:spacing w:after="120"/>
      <w:ind w:left="720"/>
      <w:contextualSpacing/>
    </w:pPr>
  </w:style>
  <w:style w:type="paragraph" w:styleId="30">
    <w:name w:val="List Continue 3"/>
    <w:basedOn w:val="1"/>
    <w:qFormat/>
    <w:uiPriority w:val="99"/>
    <w:pPr>
      <w:spacing w:after="120"/>
      <w:ind w:left="1080"/>
      <w:contextualSpacing/>
    </w:pPr>
  </w:style>
  <w:style w:type="paragraph" w:styleId="31">
    <w:name w:val="Title"/>
    <w:basedOn w:val="1"/>
    <w:next w:val="1"/>
    <w:link w:val="141"/>
    <w:qFormat/>
    <w:uiPriority w:val="10"/>
    <w:pPr>
      <w:pBdr>
        <w:bottom w:val="single" w:color="4F81BD" w:sz="8" w:space="4"/>
      </w:pBdr>
      <w:spacing w:after="300" w:line="240" w:lineRule="auto"/>
      <w:contextualSpacing/>
    </w:pPr>
    <w:rPr>
      <w:rFonts w:ascii="Calibri" w:hAnsi="Calibri" w:eastAsia="MS Gothic" w:cs="宋体"/>
      <w:color w:val="17365D"/>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5">
    <w:name w:val="Light Shading Accent 1"/>
    <w:basedOn w:val="32"/>
    <w:qFormat/>
    <w:uiPriority w:val="60"/>
    <w:pPr>
      <w:spacing w:after="0" w:line="240" w:lineRule="auto"/>
    </w:pPr>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36">
    <w:name w:val="Light Shading Accent 2"/>
    <w:basedOn w:val="32"/>
    <w:qFormat/>
    <w:uiPriority w:val="60"/>
    <w:pPr>
      <w:spacing w:after="0" w:line="240" w:lineRule="auto"/>
    </w:pPr>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7">
    <w:name w:val="Light Shading Accent 3"/>
    <w:basedOn w:val="32"/>
    <w:qFormat/>
    <w:uiPriority w:val="60"/>
    <w:pPr>
      <w:spacing w:after="0" w:line="240" w:lineRule="auto"/>
    </w:pPr>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8">
    <w:name w:val="Light Shading Accent 4"/>
    <w:basedOn w:val="32"/>
    <w:qFormat/>
    <w:uiPriority w:val="60"/>
    <w:pPr>
      <w:spacing w:after="0" w:line="240" w:lineRule="auto"/>
    </w:pPr>
    <w:rPr>
      <w:color w:val="5F497A"/>
    </w:rPr>
    <w:tblPr>
      <w:tblBorders>
        <w:top w:val="single" w:color="8064A2" w:sz="8" w:space="0"/>
        <w:bottom w:val="single" w:color="8064A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39">
    <w:name w:val="Light Shading Accent 5"/>
    <w:basedOn w:val="32"/>
    <w:qFormat/>
    <w:uiPriority w:val="60"/>
    <w:pPr>
      <w:spacing w:after="0" w:line="240" w:lineRule="auto"/>
    </w:pPr>
    <w:rPr>
      <w:color w:val="31849B"/>
    </w:rPr>
    <w:tblPr>
      <w:tblBorders>
        <w:top w:val="single" w:color="4BACC6" w:sz="8" w:space="0"/>
        <w:bottom w:val="single" w:color="4BACC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40">
    <w:name w:val="Light Shading Accent 6"/>
    <w:basedOn w:val="32"/>
    <w:qFormat/>
    <w:uiPriority w:val="60"/>
    <w:pPr>
      <w:spacing w:after="0" w:line="240" w:lineRule="auto"/>
    </w:pPr>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41">
    <w:name w:val="Light List"/>
    <w:basedOn w:val="32"/>
    <w:qFormat/>
    <w:uiPriority w:val="61"/>
    <w:pPr>
      <w:spacing w:after="0" w:line="240" w:lineRule="auto"/>
    </w:p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42">
    <w:name w:val="Light List Accent 1"/>
    <w:basedOn w:val="32"/>
    <w:qFormat/>
    <w:uiPriority w:val="61"/>
    <w:pPr>
      <w:spacing w:after="0" w:line="240" w:lineRule="auto"/>
    </w:p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43">
    <w:name w:val="Light List Accent 2"/>
    <w:basedOn w:val="32"/>
    <w:qFormat/>
    <w:uiPriority w:val="61"/>
    <w:pPr>
      <w:spacing w:after="0" w:line="240" w:lineRule="auto"/>
    </w:p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44">
    <w:name w:val="Light List Accent 3"/>
    <w:basedOn w:val="32"/>
    <w:qFormat/>
    <w:uiPriority w:val="61"/>
    <w:pPr>
      <w:spacing w:after="0" w:line="240" w:lineRule="auto"/>
    </w:p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45">
    <w:name w:val="Light List Accent 4"/>
    <w:basedOn w:val="32"/>
    <w:qFormat/>
    <w:uiPriority w:val="61"/>
    <w:pPr>
      <w:spacing w:after="0" w:line="240" w:lineRule="auto"/>
    </w:pPr>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46">
    <w:name w:val="Light List Accent 5"/>
    <w:basedOn w:val="32"/>
    <w:qFormat/>
    <w:uiPriority w:val="61"/>
    <w:pPr>
      <w:spacing w:after="0" w:line="240" w:lineRule="auto"/>
    </w:p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47">
    <w:name w:val="Light List Accent 6"/>
    <w:basedOn w:val="32"/>
    <w:qFormat/>
    <w:uiPriority w:val="61"/>
    <w:pPr>
      <w:spacing w:after="0" w:line="240" w:lineRule="auto"/>
    </w:p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48">
    <w:name w:val="Light Grid"/>
    <w:basedOn w:val="32"/>
    <w:qFormat/>
    <w:uiPriority w:val="62"/>
    <w:pPr>
      <w:spacing w:after="0" w:line="240" w:lineRule="auto"/>
    </w:p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55">
    <w:name w:val="Medium Shading 1"/>
    <w:basedOn w:val="32"/>
    <w:qFormat/>
    <w:uiPriority w:val="63"/>
    <w:pPr>
      <w:spacing w:after="0" w:line="240" w:lineRule="auto"/>
    </w:pPr>
    <w:tblPr>
      <w:tblBorders>
        <w:top w:val="single" w:color="404040" w:sz="8" w:space="0"/>
        <w:left w:val="single" w:color="404040" w:sz="8" w:space="0"/>
        <w:bottom w:val="single" w:color="404040" w:sz="8" w:space="0"/>
        <w:right w:val="single" w:color="404040" w:sz="8" w:space="0"/>
        <w:insideH w:val="single" w:color="404040"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sz="8" w:space="0"/>
        <w:left w:val="single" w:color="7BA0CD" w:sz="8" w:space="0"/>
        <w:bottom w:val="single" w:color="7BA0CD" w:sz="8" w:space="0"/>
        <w:right w:val="single" w:color="7BA0CD" w:sz="8" w:space="0"/>
        <w:insideH w:val="single" w:color="7BA0CD"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sz="8" w:space="0"/>
        <w:left w:val="single" w:color="CF7B79" w:sz="8" w:space="0"/>
        <w:bottom w:val="single" w:color="CF7B79" w:sz="8" w:space="0"/>
        <w:right w:val="single" w:color="CF7B79" w:sz="8" w:space="0"/>
        <w:insideH w:val="single" w:color="CF7B7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3CC82" w:sz="8" w:space="0"/>
        <w:left w:val="single" w:color="B3CC82" w:sz="8" w:space="0"/>
        <w:bottom w:val="single" w:color="B3CC82" w:sz="8" w:space="0"/>
        <w:right w:val="single" w:color="B3CC82" w:sz="8" w:space="0"/>
        <w:insideH w:val="single" w:color="B3CC82"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sz="8" w:space="0"/>
        <w:left w:val="single" w:color="9F8AB9" w:sz="8" w:space="0"/>
        <w:bottom w:val="single" w:color="9F8AB9" w:sz="8" w:space="0"/>
        <w:right w:val="single" w:color="9F8AB9" w:sz="8" w:space="0"/>
        <w:insideH w:val="single" w:color="9F8AB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sz="8" w:space="0"/>
        <w:left w:val="single" w:color="F9B074" w:sz="8" w:space="0"/>
        <w:bottom w:val="single" w:color="F9B074" w:sz="8" w:space="0"/>
        <w:right w:val="single" w:color="F9B074" w:sz="8" w:space="0"/>
        <w:insideH w:val="single" w:color="F9B074"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70">
    <w:name w:val="Medium List 1 Accent 1"/>
    <w:basedOn w:val="32"/>
    <w:qFormat/>
    <w:uiPriority w:val="65"/>
    <w:pPr>
      <w:spacing w:after="0" w:line="240" w:lineRule="auto"/>
    </w:pPr>
    <w:rPr>
      <w:color w:val="000000"/>
    </w:rPr>
    <w:tblPr>
      <w:tblBorders>
        <w:top w:val="single" w:color="4F81BD" w:sz="8" w:space="0"/>
        <w:bottom w:val="single" w:color="4F81BD"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71">
    <w:name w:val="Medium List 1 Accent 2"/>
    <w:basedOn w:val="32"/>
    <w:qFormat/>
    <w:uiPriority w:val="65"/>
    <w:pPr>
      <w:spacing w:after="0" w:line="240" w:lineRule="auto"/>
    </w:pPr>
    <w:rPr>
      <w:color w:val="000000"/>
    </w:rPr>
    <w:tblPr>
      <w:tblBorders>
        <w:top w:val="single" w:color="C0504D" w:sz="8" w:space="0"/>
        <w:bottom w:val="single" w:color="C0504D"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72">
    <w:name w:val="Medium List 1 Accent 3"/>
    <w:basedOn w:val="32"/>
    <w:qFormat/>
    <w:uiPriority w:val="65"/>
    <w:pPr>
      <w:spacing w:after="0" w:line="240" w:lineRule="auto"/>
    </w:pPr>
    <w:rPr>
      <w:color w:val="000000"/>
    </w:rPr>
    <w:tblPr>
      <w:tblBorders>
        <w:top w:val="single" w:color="9BBB59" w:sz="8" w:space="0"/>
        <w:bottom w:val="single" w:color="9BBB59"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73">
    <w:name w:val="Medium List 1 Accent 4"/>
    <w:basedOn w:val="32"/>
    <w:qFormat/>
    <w:uiPriority w:val="65"/>
    <w:pPr>
      <w:spacing w:after="0" w:line="240" w:lineRule="auto"/>
    </w:pPr>
    <w:rPr>
      <w:color w:val="000000"/>
    </w:rPr>
    <w:tblPr>
      <w:tblBorders>
        <w:top w:val="single" w:color="8064A2" w:sz="8" w:space="0"/>
        <w:bottom w:val="single" w:color="8064A2"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74">
    <w:name w:val="Medium List 1 Accent 5"/>
    <w:basedOn w:val="32"/>
    <w:qFormat/>
    <w:uiPriority w:val="65"/>
    <w:pPr>
      <w:spacing w:after="0" w:line="240" w:lineRule="auto"/>
    </w:pPr>
    <w:rPr>
      <w:color w:val="000000"/>
    </w:rPr>
    <w:tblPr>
      <w:tblBorders>
        <w:top w:val="single" w:color="4BACC6" w:sz="8" w:space="0"/>
        <w:bottom w:val="single" w:color="4BACC6"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75">
    <w:name w:val="Medium List 1 Accent 6"/>
    <w:basedOn w:val="32"/>
    <w:qFormat/>
    <w:uiPriority w:val="65"/>
    <w:pPr>
      <w:spacing w:after="0" w:line="240" w:lineRule="auto"/>
    </w:pPr>
    <w:rPr>
      <w:color w:val="000000"/>
    </w:rPr>
    <w:tblPr>
      <w:tblBorders>
        <w:top w:val="single" w:color="F79646" w:sz="8" w:space="0"/>
        <w:bottom w:val="single" w:color="F79646"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76">
    <w:name w:val="Medium List 2"/>
    <w:basedOn w:val="32"/>
    <w:qFormat/>
    <w:uiPriority w:val="66"/>
    <w:pPr>
      <w:spacing w:after="0" w:line="240" w:lineRule="auto"/>
    </w:pPr>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84">
    <w:name w:val="Medium Grid 1 Accent 1"/>
    <w:basedOn w:val="32"/>
    <w:qFormat/>
    <w:uiPriority w:val="67"/>
    <w:pPr>
      <w:spacing w:after="0" w:line="240" w:lineRule="auto"/>
    </w:pPr>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85">
    <w:name w:val="Medium Grid 1 Accent 2"/>
    <w:basedOn w:val="32"/>
    <w:qFormat/>
    <w:uiPriority w:val="67"/>
    <w:pPr>
      <w:spacing w:after="0" w:line="240" w:lineRule="auto"/>
    </w:p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86">
    <w:name w:val="Medium Grid 1 Accent 3"/>
    <w:basedOn w:val="32"/>
    <w:qFormat/>
    <w:uiPriority w:val="67"/>
    <w:pPr>
      <w:spacing w:after="0" w:line="240" w:lineRule="auto"/>
    </w:pPr>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87">
    <w:name w:val="Medium Grid 1 Accent 4"/>
    <w:basedOn w:val="32"/>
    <w:qFormat/>
    <w:uiPriority w:val="67"/>
    <w:pPr>
      <w:spacing w:after="0" w:line="240" w:lineRule="auto"/>
    </w:pPr>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88">
    <w:name w:val="Medium Grid 1 Accent 5"/>
    <w:basedOn w:val="32"/>
    <w:qFormat/>
    <w:uiPriority w:val="67"/>
    <w:pPr>
      <w:spacing w:after="0" w:line="240" w:lineRule="auto"/>
    </w:pPr>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89">
    <w:name w:val="Medium Grid 1 Accent 6"/>
    <w:basedOn w:val="32"/>
    <w:qFormat/>
    <w:uiPriority w:val="67"/>
    <w:pPr>
      <w:spacing w:after="0" w:line="240" w:lineRule="auto"/>
    </w:pPr>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90">
    <w:name w:val="Medium Grid 2"/>
    <w:basedOn w:val="32"/>
    <w:qFormat/>
    <w:uiPriority w:val="68"/>
    <w:pPr>
      <w:spacing w:after="0" w:line="240" w:lineRule="auto"/>
    </w:pPr>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91">
    <w:name w:val="Medium Grid 2 Accent 1"/>
    <w:basedOn w:val="32"/>
    <w:qFormat/>
    <w:uiPriority w:val="68"/>
    <w:pPr>
      <w:spacing w:after="0" w:line="240" w:lineRule="auto"/>
    </w:pPr>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92">
    <w:name w:val="Medium Grid 2 Accent 2"/>
    <w:basedOn w:val="32"/>
    <w:qFormat/>
    <w:uiPriority w:val="68"/>
    <w:pPr>
      <w:spacing w:after="0" w:line="240" w:lineRule="auto"/>
    </w:pPr>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93">
    <w:name w:val="Medium Grid 2 Accent 3"/>
    <w:basedOn w:val="32"/>
    <w:qFormat/>
    <w:uiPriority w:val="68"/>
    <w:pPr>
      <w:spacing w:after="0" w:line="240" w:lineRule="auto"/>
    </w:pPr>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94">
    <w:name w:val="Medium Grid 2 Accent 4"/>
    <w:basedOn w:val="32"/>
    <w:qFormat/>
    <w:uiPriority w:val="68"/>
    <w:pPr>
      <w:spacing w:after="0" w:line="240" w:lineRule="auto"/>
    </w:pPr>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95">
    <w:name w:val="Medium Grid 2 Accent 5"/>
    <w:basedOn w:val="32"/>
    <w:qFormat/>
    <w:uiPriority w:val="68"/>
    <w:pPr>
      <w:spacing w:after="0" w:line="240" w:lineRule="auto"/>
    </w:pPr>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96">
    <w:name w:val="Medium Grid 2 Accent 6"/>
    <w:basedOn w:val="32"/>
    <w:qFormat/>
    <w:uiPriority w:val="68"/>
    <w:pPr>
      <w:spacing w:after="0" w:line="240" w:lineRule="auto"/>
    </w:pPr>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97">
    <w:name w:val="Medium Grid 3"/>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98">
    <w:name w:val="Medium Grid 3 Accent 1"/>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99">
    <w:name w:val="Medium Grid 3 Accent 2"/>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00">
    <w:name w:val="Medium Grid 3 Accent 3"/>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101">
    <w:name w:val="Medium Grid 3 Accent 4"/>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102">
    <w:name w:val="Medium Grid 3 Accent 5"/>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103">
    <w:name w:val="Medium Grid 3 Accent 6"/>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104">
    <w:name w:val="Dark List"/>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05">
    <w:name w:val="Dark List Accent 1"/>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106">
    <w:name w:val="Dark List Accent 2"/>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107">
    <w:name w:val="Dark List Accent 3"/>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108">
    <w:name w:val="Dark List Accent 4"/>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109">
    <w:name w:val="Dark List Accent 5"/>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110">
    <w:name w:val="Dark List Accent 6"/>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111">
    <w:name w:val="Colorful Shading"/>
    <w:basedOn w:val="32"/>
    <w:qFormat/>
    <w:uiPriority w:val="71"/>
    <w:pPr>
      <w:spacing w:after="0" w:line="240" w:lineRule="auto"/>
    </w:pPr>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12">
    <w:name w:val="Colorful Shading Accent 1"/>
    <w:basedOn w:val="32"/>
    <w:qFormat/>
    <w:uiPriority w:val="71"/>
    <w:pPr>
      <w:spacing w:after="0" w:line="240" w:lineRule="auto"/>
    </w:pPr>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113">
    <w:name w:val="Colorful Shading Accent 2"/>
    <w:basedOn w:val="32"/>
    <w:qFormat/>
    <w:uiPriority w:val="71"/>
    <w:pPr>
      <w:spacing w:after="0" w:line="240" w:lineRule="auto"/>
    </w:pPr>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114">
    <w:name w:val="Colorful Shading Accent 3"/>
    <w:basedOn w:val="32"/>
    <w:qFormat/>
    <w:uiPriority w:val="71"/>
    <w:pPr>
      <w:spacing w:after="0" w:line="240" w:lineRule="auto"/>
    </w:pPr>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15">
    <w:name w:val="Colorful Shading Accent 4"/>
    <w:basedOn w:val="32"/>
    <w:qFormat/>
    <w:uiPriority w:val="71"/>
    <w:pPr>
      <w:spacing w:after="0" w:line="240" w:lineRule="auto"/>
    </w:pPr>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116">
    <w:name w:val="Colorful Shading Accent 5"/>
    <w:basedOn w:val="32"/>
    <w:qFormat/>
    <w:uiPriority w:val="71"/>
    <w:pPr>
      <w:spacing w:after="0" w:line="240" w:lineRule="auto"/>
    </w:pPr>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117">
    <w:name w:val="Colorful Shading Accent 6"/>
    <w:basedOn w:val="32"/>
    <w:qFormat/>
    <w:uiPriority w:val="71"/>
    <w:pPr>
      <w:spacing w:after="0" w:line="240" w:lineRule="auto"/>
    </w:pPr>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118">
    <w:name w:val="Colorful List"/>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19">
    <w:name w:val="Colorful List Accent 1"/>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120">
    <w:name w:val="Colorful List Accent 2"/>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121">
    <w:name w:val="Colorful List Accent 3"/>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122">
    <w:name w:val="Colorful List Accent 4"/>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123">
    <w:name w:val="Colorful List Accent 5"/>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124">
    <w:name w:val="Colorful List Accent 6"/>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125">
    <w:name w:val="Colorful Grid"/>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26">
    <w:name w:val="Colorful Grid Accent 1"/>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127">
    <w:name w:val="Colorful Grid Accent 2"/>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128">
    <w:name w:val="Colorful Grid Accent 3"/>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129">
    <w:name w:val="Colorful Grid Accent 4"/>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130">
    <w:name w:val="Colorful Grid Accent 5"/>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131">
    <w:name w:val="Colorful Grid Accent 6"/>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_d920c348-55c8-47ac-b251-20eb711f74e9"/>
    <w:basedOn w:val="132"/>
    <w:link w:val="25"/>
    <w:qFormat/>
    <w:uiPriority w:val="99"/>
  </w:style>
  <w:style w:type="character" w:customStyle="1" w:styleId="136">
    <w:name w:val="Footer Char_54b49ce9-d752-4b92-bbe8-0d8589b5ba2e"/>
    <w:basedOn w:val="132"/>
    <w:link w:val="24"/>
    <w:qFormat/>
    <w:uiPriority w:val="99"/>
  </w:style>
  <w:style w:type="paragraph" w:styleId="137">
    <w:name w:val="No Spacing"/>
    <w:qFormat/>
    <w:uiPriority w:val="1"/>
    <w:pPr>
      <w:spacing w:after="0" w:line="240" w:lineRule="auto"/>
    </w:pPr>
    <w:rPr>
      <w:rFonts w:ascii="Cambria" w:hAnsi="Cambria" w:eastAsia="MS Mincho" w:cs="宋体"/>
      <w:sz w:val="22"/>
      <w:szCs w:val="22"/>
      <w:lang w:val="en-US" w:eastAsia="en-US" w:bidi="ar-SA"/>
    </w:rPr>
  </w:style>
  <w:style w:type="character" w:customStyle="1" w:styleId="138">
    <w:name w:val="Heading 1 Char_f89159c7-2dda-4fce-94b4-9fd9e0a84c72"/>
    <w:basedOn w:val="132"/>
    <w:link w:val="3"/>
    <w:qFormat/>
    <w:uiPriority w:val="9"/>
    <w:rPr>
      <w:rFonts w:ascii="Calibri" w:hAnsi="Calibri" w:eastAsia="MS Gothic" w:cs="宋体"/>
      <w:b/>
      <w:bCs/>
      <w:color w:val="365F91"/>
      <w:sz w:val="28"/>
      <w:szCs w:val="28"/>
    </w:rPr>
  </w:style>
  <w:style w:type="character" w:customStyle="1" w:styleId="139">
    <w:name w:val="Heading 2 Char_8f45a812-ef29-4eb3-b3ed-139e7b8da82e"/>
    <w:basedOn w:val="132"/>
    <w:link w:val="4"/>
    <w:qFormat/>
    <w:uiPriority w:val="9"/>
    <w:rPr>
      <w:rFonts w:ascii="Calibri" w:hAnsi="Calibri" w:eastAsia="MS Gothic" w:cs="宋体"/>
      <w:b/>
      <w:bCs/>
      <w:color w:val="4F81BD"/>
      <w:sz w:val="26"/>
      <w:szCs w:val="26"/>
    </w:rPr>
  </w:style>
  <w:style w:type="character" w:customStyle="1" w:styleId="140">
    <w:name w:val="Heading 3 Char_f16233b5-393e-4869-8b2a-f3d24e78f89f"/>
    <w:basedOn w:val="132"/>
    <w:link w:val="5"/>
    <w:qFormat/>
    <w:uiPriority w:val="9"/>
    <w:rPr>
      <w:rFonts w:ascii="Calibri" w:hAnsi="Calibri" w:eastAsia="MS Gothic" w:cs="宋体"/>
      <w:b/>
      <w:bCs/>
      <w:color w:val="4F81BD"/>
    </w:rPr>
  </w:style>
  <w:style w:type="character" w:customStyle="1" w:styleId="141">
    <w:name w:val="Title Char_b3514c22-c9a8-44f8-b37e-d58f47dd551f"/>
    <w:basedOn w:val="132"/>
    <w:link w:val="31"/>
    <w:qFormat/>
    <w:uiPriority w:val="10"/>
    <w:rPr>
      <w:rFonts w:ascii="Calibri" w:hAnsi="Calibri" w:eastAsia="MS Gothic" w:cs="宋体"/>
      <w:color w:val="17365D"/>
      <w:spacing w:val="5"/>
      <w:kern w:val="28"/>
      <w:sz w:val="52"/>
      <w:szCs w:val="52"/>
    </w:rPr>
  </w:style>
  <w:style w:type="character" w:customStyle="1" w:styleId="142">
    <w:name w:val="Subtitle Char"/>
    <w:basedOn w:val="132"/>
    <w:link w:val="26"/>
    <w:qFormat/>
    <w:uiPriority w:val="11"/>
    <w:rPr>
      <w:rFonts w:ascii="Calibri" w:hAnsi="Calibri" w:eastAsia="MS Gothic" w:cs="宋体"/>
      <w:i/>
      <w:iCs/>
      <w:color w:val="4F81BD"/>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rPr>
  </w:style>
  <w:style w:type="character" w:customStyle="1" w:styleId="149">
    <w:name w:val="Quote Char_6271e25b-4630-4a74-8742-3e3b293e2dc2"/>
    <w:basedOn w:val="132"/>
    <w:link w:val="148"/>
    <w:qFormat/>
    <w:uiPriority w:val="29"/>
    <w:rPr>
      <w:i/>
      <w:iCs/>
      <w:color w:val="000000"/>
    </w:rPr>
  </w:style>
  <w:style w:type="character" w:customStyle="1" w:styleId="150">
    <w:name w:val="Heading 4 Char_6549fce9-9b5e-42b5-a041-3ee43c2a0f9d"/>
    <w:basedOn w:val="132"/>
    <w:link w:val="6"/>
    <w:qFormat/>
    <w:uiPriority w:val="9"/>
    <w:rPr>
      <w:rFonts w:ascii="Calibri" w:hAnsi="Calibri" w:eastAsia="MS Gothic" w:cs="宋体"/>
      <w:b/>
      <w:bCs/>
      <w:i/>
      <w:iCs/>
      <w:color w:val="4F81BD"/>
    </w:rPr>
  </w:style>
  <w:style w:type="character" w:customStyle="1" w:styleId="151">
    <w:name w:val="Heading 5 Char_50de06d9-2504-427a-a816-424ee21156bd"/>
    <w:basedOn w:val="132"/>
    <w:link w:val="7"/>
    <w:qFormat/>
    <w:uiPriority w:val="9"/>
    <w:rPr>
      <w:rFonts w:ascii="Calibri" w:hAnsi="Calibri" w:eastAsia="MS Gothic" w:cs="宋体"/>
      <w:color w:val="243F60"/>
    </w:rPr>
  </w:style>
  <w:style w:type="character" w:customStyle="1" w:styleId="152">
    <w:name w:val="Heading 6 Char_661fccbb-e0ba-4da7-9433-869bf6dc5549"/>
    <w:basedOn w:val="132"/>
    <w:link w:val="8"/>
    <w:qFormat/>
    <w:uiPriority w:val="9"/>
    <w:rPr>
      <w:rFonts w:ascii="Calibri" w:hAnsi="Calibri" w:eastAsia="MS Gothic" w:cs="宋体"/>
      <w:i/>
      <w:iCs/>
      <w:color w:val="243F60"/>
    </w:rPr>
  </w:style>
  <w:style w:type="character" w:customStyle="1" w:styleId="153">
    <w:name w:val="Heading 7 Char_7801184a-f2d3-4312-afb5-de546fcdb586"/>
    <w:basedOn w:val="132"/>
    <w:link w:val="9"/>
    <w:qFormat/>
    <w:uiPriority w:val="9"/>
    <w:rPr>
      <w:rFonts w:ascii="Calibri" w:hAnsi="Calibri" w:eastAsia="MS Gothic" w:cs="宋体"/>
      <w:i/>
      <w:iCs/>
      <w:color w:val="404040"/>
    </w:rPr>
  </w:style>
  <w:style w:type="character" w:customStyle="1" w:styleId="154">
    <w:name w:val="Heading 8 Char_03b66cb3-5c64-4567-8580-4c335bf7353d"/>
    <w:basedOn w:val="132"/>
    <w:link w:val="10"/>
    <w:qFormat/>
    <w:uiPriority w:val="9"/>
    <w:rPr>
      <w:rFonts w:ascii="Calibri" w:hAnsi="Calibri" w:eastAsia="MS Gothic" w:cs="宋体"/>
      <w:color w:val="4F81BD"/>
      <w:sz w:val="20"/>
      <w:szCs w:val="20"/>
    </w:rPr>
  </w:style>
  <w:style w:type="character" w:customStyle="1" w:styleId="155">
    <w:name w:val="Heading 9 Char_34fd34d3-f342-46c1-9e26-bbb44ceb5982"/>
    <w:basedOn w:val="132"/>
    <w:link w:val="11"/>
    <w:qFormat/>
    <w:uiPriority w:val="9"/>
    <w:rPr>
      <w:rFonts w:ascii="Calibri" w:hAnsi="Calibri" w:eastAsia="MS Gothic" w:cs="宋体"/>
      <w:i/>
      <w:iCs/>
      <w:color w:val="404040"/>
      <w:sz w:val="20"/>
      <w:szCs w:val="20"/>
    </w:rPr>
  </w:style>
  <w:style w:type="paragraph" w:styleId="156">
    <w:name w:val="Intense Quote"/>
    <w:basedOn w:val="1"/>
    <w:next w:val="1"/>
    <w:link w:val="157"/>
    <w:qFormat/>
    <w:uiPriority w:val="30"/>
    <w:pPr>
      <w:pBdr>
        <w:bottom w:val="single" w:color="4F81BD" w:sz="4" w:space="4"/>
      </w:pBdr>
      <w:spacing w:before="200" w:after="280"/>
      <w:ind w:left="936" w:right="936"/>
    </w:pPr>
    <w:rPr>
      <w:b/>
      <w:bCs/>
      <w:i/>
      <w:iCs/>
      <w:color w:val="4F81BD"/>
    </w:rPr>
  </w:style>
  <w:style w:type="character" w:customStyle="1" w:styleId="157">
    <w:name w:val="Intense Quote Char_790df5ef-c5f6-447b-8732-19e89d9578fa"/>
    <w:basedOn w:val="132"/>
    <w:link w:val="156"/>
    <w:qFormat/>
    <w:uiPriority w:val="30"/>
    <w:rPr>
      <w:b/>
      <w:bCs/>
      <w:i/>
      <w:iCs/>
      <w:color w:val="4F81BD"/>
    </w:rPr>
  </w:style>
  <w:style w:type="character" w:customStyle="1" w:styleId="158">
    <w:name w:val="Subtle Emphasis"/>
    <w:basedOn w:val="132"/>
    <w:qFormat/>
    <w:uiPriority w:val="19"/>
    <w:rPr>
      <w:i/>
      <w:iCs/>
      <w:color w:val="808080"/>
    </w:rPr>
  </w:style>
  <w:style w:type="character" w:customStyle="1" w:styleId="159">
    <w:name w:val="Intense Emphasis"/>
    <w:basedOn w:val="132"/>
    <w:qFormat/>
    <w:uiPriority w:val="21"/>
    <w:rPr>
      <w:b/>
      <w:bCs/>
      <w:i/>
      <w:iCs/>
      <w:color w:val="4F81BD"/>
    </w:rPr>
  </w:style>
  <w:style w:type="character" w:customStyle="1" w:styleId="160">
    <w:name w:val="Subtle Reference"/>
    <w:basedOn w:val="132"/>
    <w:qFormat/>
    <w:uiPriority w:val="31"/>
    <w:rPr>
      <w:smallCaps/>
      <w:color w:val="C0504D"/>
      <w:u w:val="single"/>
    </w:rPr>
  </w:style>
  <w:style w:type="character" w:customStyle="1" w:styleId="161">
    <w:name w:val="Intense Reference"/>
    <w:basedOn w:val="132"/>
    <w:qFormat/>
    <w:uiPriority w:val="32"/>
    <w:rPr>
      <w:b/>
      <w:bCs/>
      <w:smallCaps/>
      <w:color w:val="C0504D"/>
      <w:spacing w:val="5"/>
      <w:u w:val="single"/>
    </w:rPr>
  </w:style>
  <w:style w:type="character" w:customStyle="1" w:styleId="162">
    <w:name w:val="Book Title"/>
    <w:basedOn w:val="132"/>
    <w:qFormat/>
    <w:uiPriority w:val="33"/>
    <w:rPr>
      <w:b/>
      <w:bCs/>
      <w:smallCaps/>
      <w:spacing w:val="5"/>
    </w:rPr>
  </w:style>
  <w:style w:type="paragraph" w:customStyle="1" w:styleId="163">
    <w:name w:val="TOC Heading"/>
    <w:basedOn w:val="3"/>
    <w:next w:val="1"/>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11233</Words>
  <Characters>11543</Characters>
  <Paragraphs>489</Paragraphs>
  <TotalTime>27</TotalTime>
  <ScaleCrop>false</ScaleCrop>
  <LinksUpToDate>false</LinksUpToDate>
  <CharactersWithSpaces>11589</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小臻儿</cp:lastModifiedBy>
  <dcterms:modified xsi:type="dcterms:W3CDTF">2026-09-16T14:05:18Z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8B793577751D0CAB9E31AA6AFE9096E6_43</vt:lpwstr>
  </property>
  <property fmtid="{D5CDD505-2E9C-101B-9397-08002B2CF9AE}" pid="3" name="KSOProductBuildVer">
    <vt:lpwstr>2052-12.1.2.24730</vt:lpwstr>
  </property>
</Properties>
</file>