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069FE">
      <w:pPr>
        <w:jc w:val="center"/>
        <w:rPr>
          <w:rFonts w:hint="eastAsia" w:ascii="Times New Roman" w:hAnsi="Times New Roman" w:eastAsia="方正小标宋简体"/>
          <w:spacing w:val="-1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pacing w:val="-10"/>
          <w:sz w:val="44"/>
          <w:szCs w:val="44"/>
          <w:lang w:val="en-US" w:eastAsia="zh-CN"/>
        </w:rPr>
        <w:t>陕西省医疗保障信息平台</w:t>
      </w:r>
    </w:p>
    <w:p w14:paraId="488EC897">
      <w:pPr>
        <w:jc w:val="center"/>
        <w:rPr>
          <w:rFonts w:hint="eastAsia" w:ascii="Times New Roman" w:hAnsi="Times New Roman" w:eastAsia="方正小标宋简体"/>
          <w:spacing w:val="-1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pacing w:val="-10"/>
          <w:sz w:val="44"/>
          <w:szCs w:val="44"/>
          <w:lang w:val="en-US" w:eastAsia="zh-CN"/>
        </w:rPr>
        <w:t>药品和医用耗材招采管理子系统</w:t>
      </w:r>
    </w:p>
    <w:p w14:paraId="33B10C86">
      <w:pPr>
        <w:jc w:val="center"/>
        <w:rPr>
          <w:rFonts w:hint="default" w:ascii="Times New Roman" w:hAnsi="Times New Roman" w:eastAsia="方正小标宋简体"/>
          <w:spacing w:val="-1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/>
          <w:spacing w:val="-10"/>
          <w:sz w:val="44"/>
          <w:szCs w:val="44"/>
          <w:lang w:val="en-US" w:eastAsia="zh-CN"/>
        </w:rPr>
        <w:t>口腔正畸托槽医用耗材省际联盟接续带量采购产品特征</w:t>
      </w:r>
    </w:p>
    <w:p w14:paraId="74F91C5E">
      <w:pPr>
        <w:jc w:val="center"/>
        <w:rPr>
          <w:lang w:eastAsia="zh-Hans"/>
        </w:rPr>
      </w:pPr>
      <w:r>
        <w:rPr>
          <w:rFonts w:hint="eastAsia" w:ascii="Times New Roman" w:hAnsi="Times New Roman" w:eastAsia="方正小标宋简体"/>
          <w:spacing w:val="-10"/>
          <w:sz w:val="44"/>
          <w:szCs w:val="44"/>
          <w:lang w:val="en-US" w:eastAsia="zh-CN"/>
        </w:rPr>
        <w:t>操作手册</w:t>
      </w:r>
    </w:p>
    <w:p w14:paraId="4AB02F8D">
      <w:pPr>
        <w:ind w:firstLine="480"/>
        <w:rPr>
          <w:lang w:eastAsia="zh-Hans"/>
        </w:rPr>
      </w:pPr>
    </w:p>
    <w:p w14:paraId="02E0CE0A">
      <w:pPr>
        <w:ind w:firstLine="480"/>
        <w:rPr>
          <w:lang w:eastAsia="zh-Hans"/>
        </w:rPr>
      </w:pPr>
    </w:p>
    <w:p w14:paraId="1F73E4F4">
      <w:pPr>
        <w:ind w:firstLine="480"/>
        <w:rPr>
          <w:lang w:eastAsia="zh-Hans"/>
        </w:rPr>
      </w:pPr>
    </w:p>
    <w:p w14:paraId="6FAA4C14">
      <w:pPr>
        <w:ind w:firstLine="480"/>
        <w:rPr>
          <w:lang w:eastAsia="zh-Hans"/>
        </w:rPr>
      </w:pPr>
    </w:p>
    <w:p w14:paraId="609D2AC1">
      <w:pPr>
        <w:ind w:firstLine="480"/>
        <w:rPr>
          <w:lang w:eastAsia="zh-Hans"/>
        </w:rPr>
      </w:pPr>
    </w:p>
    <w:p w14:paraId="72729472">
      <w:pPr>
        <w:ind w:firstLine="0" w:firstLineChars="0"/>
        <w:rPr>
          <w:lang w:eastAsia="zh-Hans"/>
        </w:rPr>
      </w:pPr>
    </w:p>
    <w:p w14:paraId="6A584953">
      <w:pPr>
        <w:ind w:firstLine="0" w:firstLineChars="0"/>
        <w:rPr>
          <w:lang w:eastAsia="zh-Hans"/>
        </w:rPr>
      </w:pPr>
    </w:p>
    <w:p w14:paraId="497B60F6">
      <w:pPr>
        <w:ind w:firstLine="0" w:firstLineChars="0"/>
        <w:rPr>
          <w:lang w:eastAsia="zh-Hans"/>
        </w:rPr>
      </w:pPr>
    </w:p>
    <w:p w14:paraId="2DB6696C">
      <w:pPr>
        <w:ind w:firstLine="0" w:firstLineChars="0"/>
        <w:rPr>
          <w:lang w:eastAsia="zh-Hans"/>
        </w:rPr>
      </w:pPr>
    </w:p>
    <w:p w14:paraId="160122CF">
      <w:pPr>
        <w:spacing w:before="156" w:after="156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陕西省公共资源交易中心</w:t>
      </w:r>
    </w:p>
    <w:p w14:paraId="36100F5F">
      <w:pPr>
        <w:spacing w:before="156" w:after="156"/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贰零二</w:t>
      </w:r>
      <w:r>
        <w:rPr>
          <w:rFonts w:hint="eastAsia" w:ascii="宋体" w:hAnsi="宋体"/>
          <w:sz w:val="30"/>
          <w:szCs w:val="30"/>
          <w:lang w:val="en-US" w:eastAsia="zh-CN"/>
        </w:rPr>
        <w:t>六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lang w:val="en-US" w:eastAsia="zh-CN"/>
        </w:rPr>
        <w:t>八</w:t>
      </w:r>
      <w:r>
        <w:rPr>
          <w:rFonts w:hint="eastAsia" w:ascii="宋体" w:hAnsi="宋体"/>
          <w:sz w:val="30"/>
          <w:szCs w:val="30"/>
        </w:rPr>
        <w:t>月</w:t>
      </w:r>
    </w:p>
    <w:p w14:paraId="048AAF31">
      <w:pPr>
        <w:spacing w:before="312" w:beforeLines="100" w:after="312" w:afterLines="100" w:line="480" w:lineRule="auto"/>
        <w:ind w:left="840" w:firstLine="5" w:firstLineChars="1"/>
        <w:jc w:val="center"/>
        <w:rPr>
          <w:rFonts w:hint="eastAsia" w:ascii="黑体" w:hAnsi="黑体" w:eastAsia="黑体"/>
          <w:sz w:val="52"/>
          <w:szCs w:val="52"/>
        </w:rPr>
      </w:pPr>
    </w:p>
    <w:p w14:paraId="1750CD6B">
      <w:pPr>
        <w:spacing w:before="312" w:beforeLines="100" w:after="312" w:afterLines="100" w:line="480" w:lineRule="auto"/>
        <w:jc w:val="center"/>
        <w:rPr>
          <w:rFonts w:hint="eastAsia"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欢迎使用</w:t>
      </w:r>
    </w:p>
    <w:p w14:paraId="30BD6C97">
      <w:pPr>
        <w:spacing w:before="312" w:beforeLines="100" w:after="312" w:afterLines="100"/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陕西省医疗保障信息平台</w:t>
      </w:r>
    </w:p>
    <w:p w14:paraId="20437EBD">
      <w:pPr>
        <w:spacing w:before="312" w:beforeLines="100" w:after="312" w:afterLines="100"/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</w:rPr>
        <w:t>药品和医用耗材招采管理子系统</w:t>
      </w:r>
    </w:p>
    <w:p w14:paraId="53B74245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5986C0D9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665531C7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7DA1E8AF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601248EB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2FC47C7B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12CB3B78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2D67FC14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00B75C87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5FDDB5A9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68E6ED18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6173FB69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4D6A4649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75075636">
      <w:pPr>
        <w:spacing w:before="156" w:after="156"/>
        <w:ind w:left="420" w:firstLine="600"/>
        <w:jc w:val="center"/>
        <w:rPr>
          <w:rFonts w:hint="eastAsia" w:ascii="宋体" w:hAnsi="宋体"/>
          <w:sz w:val="30"/>
          <w:szCs w:val="30"/>
        </w:rPr>
      </w:pPr>
    </w:p>
    <w:p w14:paraId="7AA07B77">
      <w:pPr>
        <w:spacing w:before="156" w:after="156"/>
        <w:ind w:firstLine="480"/>
        <w:jc w:val="center"/>
        <w:rPr>
          <w:rFonts w:hint="eastAsia"/>
        </w:rPr>
      </w:pPr>
      <w:bookmarkStart w:id="0" w:name="_Toc428124240"/>
      <w:bookmarkStart w:id="1" w:name="_Toc428344568"/>
      <w:bookmarkStart w:id="2" w:name="_Toc246739487"/>
      <w:bookmarkStart w:id="3" w:name="_Toc248638615"/>
      <w:bookmarkStart w:id="4" w:name="_Toc233189553"/>
      <w:r>
        <w:rPr>
          <w:rFonts w:hint="eastAsia"/>
        </w:rPr>
        <w:t>关于本用户手册</w:t>
      </w:r>
      <w:bookmarkEnd w:id="0"/>
      <w:bookmarkEnd w:id="1"/>
      <w:bookmarkEnd w:id="2"/>
      <w:bookmarkEnd w:id="3"/>
      <w:bookmarkEnd w:id="4"/>
    </w:p>
    <w:p w14:paraId="0DB5B637">
      <w:pPr>
        <w:ind w:firstLine="480"/>
      </w:pPr>
      <w:r>
        <w:rPr>
          <w:rFonts w:hint="eastAsia"/>
        </w:rPr>
        <w:t>本手册中所出现的用户名称及相关数据均为系统测试数据，不作为任何正式</w:t>
      </w:r>
      <w:r>
        <w:rPr>
          <w:rFonts w:hint="eastAsia"/>
          <w:lang w:eastAsia="zh-Hans"/>
        </w:rPr>
        <w:t>使用</w:t>
      </w:r>
      <w:r>
        <w:rPr>
          <w:rFonts w:hint="eastAsia"/>
        </w:rPr>
        <w:t>的依据。</w:t>
      </w:r>
    </w:p>
    <w:p w14:paraId="674D4DC3">
      <w:pPr>
        <w:ind w:firstLine="0" w:firstLineChars="0"/>
      </w:pPr>
    </w:p>
    <w:p w14:paraId="07BB2B6C">
      <w:pPr>
        <w:ind w:firstLine="0" w:firstLineChars="0"/>
      </w:pPr>
    </w:p>
    <w:p w14:paraId="2487126E">
      <w:pPr>
        <w:pStyle w:val="3"/>
        <w:spacing w:before="312"/>
        <w:ind w:left="562" w:hanging="562"/>
      </w:pPr>
      <w:r>
        <w:rPr>
          <w:rFonts w:hint="eastAsia"/>
        </w:rPr>
        <w:t>使用须知</w:t>
      </w:r>
    </w:p>
    <w:p w14:paraId="76C455F6">
      <w:pPr>
        <w:spacing w:before="156" w:after="156"/>
        <w:ind w:firstLine="480"/>
        <w:rPr>
          <w:rFonts w:ascii="宋体" w:hAnsi="宋体"/>
        </w:rPr>
      </w:pPr>
      <w:r>
        <w:rPr>
          <w:rFonts w:hint="eastAsia" w:ascii="宋体" w:hAnsi="宋体"/>
        </w:rPr>
        <w:t>操作系统要求：对操作系统要求不高，Windows XP及以上即可。</w:t>
      </w:r>
    </w:p>
    <w:p w14:paraId="45B78A00">
      <w:pPr>
        <w:spacing w:before="156" w:after="156"/>
        <w:ind w:firstLine="480"/>
        <w:rPr>
          <w:rFonts w:hint="eastAsia" w:ascii="宋体" w:hAnsi="宋体"/>
        </w:rPr>
      </w:pPr>
      <w:r>
        <w:rPr>
          <w:rFonts w:hint="eastAsia" w:ascii="宋体" w:hAnsi="宋体"/>
        </w:rPr>
        <w:t>浏览器要求：涉及到签章功能，谷歌浏览器请使用 94以下版本，360极速浏览器请使用9.5以下版本，IE浏览器无限制。</w:t>
      </w:r>
    </w:p>
    <w:p w14:paraId="6B1B9526">
      <w:pPr>
        <w:pStyle w:val="3"/>
        <w:spacing w:before="312"/>
        <w:ind w:left="562" w:hanging="562"/>
        <w:rPr>
          <w:rFonts w:hint="eastAsia"/>
        </w:rPr>
      </w:pPr>
      <w:r>
        <w:rPr>
          <w:rFonts w:hint="eastAsia"/>
        </w:rPr>
        <w:t>用户登录</w:t>
      </w:r>
    </w:p>
    <w:p w14:paraId="4DA69F5E">
      <w:pPr>
        <w:spacing w:before="156" w:after="156"/>
        <w:ind w:firstLine="480"/>
      </w:pPr>
      <w:r>
        <w:rPr>
          <w:rFonts w:hint="eastAsia"/>
        </w:rPr>
        <w:t>用户在浏览器中输入</w:t>
      </w:r>
      <w:r>
        <w:rPr>
          <w:color w:val="4F81BD" w:themeColor="accent1"/>
          <w14:textFill>
            <w14:solidFill>
              <w14:schemeClr w14:val="accent1"/>
            </w14:solidFill>
          </w14:textFill>
        </w:rPr>
        <w:t>https://zwfw.shaanxi.gov.cn/ggfw/hallEnter/#/Index</w:t>
      </w:r>
      <w:r>
        <w:rPr>
          <w:rFonts w:hint="eastAsia"/>
        </w:rPr>
        <w:t>进入陕西省医保公共服务网上服务大厅医保公共服务门户页面，点击【单位登录】进入登录页面。</w:t>
      </w:r>
    </w:p>
    <w:p w14:paraId="41968CC2">
      <w:pPr>
        <w:spacing w:before="156" w:after="156"/>
        <w:ind w:firstLine="480"/>
        <w:jc w:val="center"/>
      </w:pPr>
      <w:r>
        <w:drawing>
          <wp:inline distT="0" distB="0" distL="0" distR="0">
            <wp:extent cx="2009775" cy="1802765"/>
            <wp:effectExtent l="0" t="0" r="9525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78DD">
      <w:pPr>
        <w:pStyle w:val="143"/>
        <w:keepNext/>
        <w:keepLines/>
        <w:numPr>
          <w:ilvl w:val="0"/>
          <w:numId w:val="7"/>
        </w:numPr>
        <w:spacing w:before="156" w:beforeLines="50" w:after="156" w:afterLines="50" w:line="720" w:lineRule="auto"/>
        <w:ind w:firstLineChars="0"/>
        <w:outlineLvl w:val="2"/>
        <w:rPr>
          <w:b/>
          <w:bCs/>
          <w:vanish/>
          <w:szCs w:val="32"/>
        </w:rPr>
      </w:pPr>
    </w:p>
    <w:p w14:paraId="3E4EFF12">
      <w:pPr>
        <w:pStyle w:val="143"/>
        <w:keepNext/>
        <w:keepLines/>
        <w:numPr>
          <w:ilvl w:val="0"/>
          <w:numId w:val="7"/>
        </w:numPr>
        <w:spacing w:before="156" w:beforeLines="50" w:after="156" w:afterLines="50" w:line="720" w:lineRule="auto"/>
        <w:ind w:firstLineChars="0"/>
        <w:outlineLvl w:val="2"/>
        <w:rPr>
          <w:b/>
          <w:bCs/>
          <w:vanish/>
          <w:szCs w:val="32"/>
        </w:rPr>
      </w:pPr>
    </w:p>
    <w:p w14:paraId="4CE92F20">
      <w:pPr>
        <w:pStyle w:val="5"/>
        <w:numPr>
          <w:ilvl w:val="1"/>
          <w:numId w:val="8"/>
        </w:numPr>
        <w:spacing w:before="156" w:after="156"/>
      </w:pPr>
      <w:r>
        <w:rPr>
          <w:rFonts w:hint="eastAsia"/>
        </w:rPr>
        <w:t>CA证书登录</w:t>
      </w:r>
    </w:p>
    <w:p w14:paraId="78D1F0A7">
      <w:pPr>
        <w:spacing w:before="156" w:after="156"/>
        <w:ind w:firstLine="480"/>
        <w:rPr>
          <w:rFonts w:hint="eastAsia"/>
          <w:lang w:eastAsia="zh-Hans"/>
        </w:rPr>
      </w:pPr>
      <w:r>
        <w:rPr>
          <w:rFonts w:hint="eastAsia"/>
        </w:rPr>
        <w:t>登录界面中点击【</w:t>
      </w:r>
      <w:r>
        <w:drawing>
          <wp:inline distT="0" distB="0" distL="0" distR="0">
            <wp:extent cx="741680" cy="207010"/>
            <wp:effectExtent l="0" t="0" r="1270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】。</w:t>
      </w:r>
    </w:p>
    <w:p w14:paraId="0A94F615">
      <w:pPr>
        <w:spacing w:before="156" w:after="156"/>
        <w:ind w:firstLine="480"/>
      </w:pPr>
      <w:r>
        <w:rPr>
          <w:rFonts w:hint="eastAsia"/>
        </w:rPr>
        <w:t>插入</w:t>
      </w:r>
      <w:r>
        <w:t>CAKey</w:t>
      </w:r>
      <w:r>
        <w:rPr>
          <w:rFonts w:hint="eastAsia"/>
        </w:rPr>
        <w:t>选择证书。</w:t>
      </w:r>
    </w:p>
    <w:p w14:paraId="5BA77104">
      <w:pPr>
        <w:spacing w:before="156" w:after="156"/>
        <w:ind w:left="480" w:firstLine="0" w:firstLineChars="0"/>
        <w:jc w:val="center"/>
      </w:pPr>
      <w:r>
        <w:drawing>
          <wp:inline distT="0" distB="0" distL="0" distR="0">
            <wp:extent cx="2915920" cy="1802765"/>
            <wp:effectExtent l="0" t="0" r="17780" b="698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B9C34">
      <w:pPr>
        <w:spacing w:before="156" w:after="156"/>
        <w:ind w:firstLine="480"/>
      </w:pPr>
      <w:r>
        <w:rPr>
          <w:rFonts w:hint="eastAsia"/>
        </w:rPr>
        <w:t>点击【</w:t>
      </w:r>
      <w:r>
        <w:drawing>
          <wp:inline distT="0" distB="0" distL="0" distR="0">
            <wp:extent cx="1276985" cy="180975"/>
            <wp:effectExtent l="0" t="0" r="1841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】，在弹出的对话框中输入用户口令，点击【确定】即可登录公共服务网上服务大厅。</w:t>
      </w:r>
    </w:p>
    <w:p w14:paraId="79ECF5A0">
      <w:pPr>
        <w:spacing w:before="156" w:after="156"/>
        <w:ind w:firstLine="480"/>
        <w:jc w:val="center"/>
        <w:rPr>
          <w:rFonts w:ascii="Times New Roman" w:hAnsi="Times New Roman" w:eastAsia="Times New Roman" w:cs="Times New Roman"/>
          <w:snapToGrid w:val="0"/>
          <w:color w:val="000000"/>
          <w:w w:val="1"/>
          <w:kern w:val="0"/>
          <w:sz w:val="2"/>
          <w:szCs w:val="2"/>
          <w:shd w:val="clear" w:color="auto" w:fill="000000"/>
          <w:lang w:val="zh-CN" w:bidi="zh-CN"/>
        </w:rPr>
      </w:pPr>
      <w:r>
        <w:drawing>
          <wp:inline distT="0" distB="0" distL="0" distR="0">
            <wp:extent cx="2139315" cy="1078230"/>
            <wp:effectExtent l="0" t="0" r="13335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BD015">
      <w:pPr>
        <w:spacing w:before="156" w:after="156"/>
        <w:ind w:firstLine="480"/>
      </w:pPr>
      <w:r>
        <w:rPr>
          <w:rFonts w:hint="eastAsia"/>
        </w:rPr>
        <w:t>点击登录，在弹出的对话框中输入用户口令，点击【确定】即可进入公共服务网上服务大厅。登录成功后点击【</w:t>
      </w:r>
      <w:r>
        <w:drawing>
          <wp:inline distT="0" distB="0" distL="0" distR="0">
            <wp:extent cx="673100" cy="207010"/>
            <wp:effectExtent l="0" t="0" r="12700" b="25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】，跳转至我的服务大厅，点击【</w:t>
      </w:r>
      <w:r>
        <w:drawing>
          <wp:inline distT="0" distB="0" distL="0" distR="0">
            <wp:extent cx="673100" cy="189865"/>
            <wp:effectExtent l="0" t="0" r="1270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】后跳转至“药品和医用耗材招采管理子系统”。</w:t>
      </w:r>
    </w:p>
    <w:p w14:paraId="6CBF49B1">
      <w:pPr>
        <w:spacing w:before="156" w:after="156"/>
        <w:ind w:firstLine="0" w:firstLineChars="0"/>
      </w:pPr>
      <w:r>
        <w:drawing>
          <wp:inline distT="0" distB="0" distL="0" distR="0">
            <wp:extent cx="5274310" cy="2637155"/>
            <wp:effectExtent l="0" t="0" r="2540" b="107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61D42">
      <w:pPr>
        <w:pStyle w:val="5"/>
        <w:numPr>
          <w:ilvl w:val="1"/>
          <w:numId w:val="8"/>
        </w:numPr>
        <w:spacing w:before="156" w:after="156"/>
        <w:ind w:left="562" w:hanging="562"/>
      </w:pPr>
      <w:r>
        <w:rPr>
          <w:rFonts w:hint="eastAsia"/>
        </w:rPr>
        <w:t>单位账号/经办人账号登录</w:t>
      </w:r>
    </w:p>
    <w:p w14:paraId="35768CEB">
      <w:pPr>
        <w:ind w:firstLine="480"/>
        <w:rPr>
          <w:rFonts w:hint="eastAsia"/>
        </w:rPr>
      </w:pPr>
      <w:r>
        <w:rPr>
          <w:rFonts w:hint="eastAsia"/>
        </w:rPr>
        <w:t>在登录框中输入用户名、密码和验证码后点击【</w:t>
      </w:r>
      <w:r>
        <w:drawing>
          <wp:inline distT="0" distB="0" distL="0" distR="0">
            <wp:extent cx="1276985" cy="180975"/>
            <wp:effectExtent l="0" t="0" r="18415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】即可进入公共服务网上服务大厅。登录成功后点击【</w:t>
      </w:r>
      <w:r>
        <w:drawing>
          <wp:inline distT="0" distB="0" distL="0" distR="0">
            <wp:extent cx="673100" cy="207010"/>
            <wp:effectExtent l="0" t="0" r="12700" b="254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】，跳转至我的服务大厅，点击【</w:t>
      </w:r>
      <w:r>
        <w:drawing>
          <wp:inline distT="0" distB="0" distL="0" distR="0">
            <wp:extent cx="673100" cy="189865"/>
            <wp:effectExtent l="0" t="0" r="1270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】后跳转至“药品和医用耗材招采管理子系统”。</w:t>
      </w:r>
    </w:p>
    <w:p w14:paraId="3E7BE0D8">
      <w:pPr>
        <w:ind w:firstLine="0" w:firstLineChars="0"/>
      </w:pPr>
      <w:r>
        <w:drawing>
          <wp:inline distT="0" distB="0" distL="0" distR="0">
            <wp:extent cx="5274310" cy="2637155"/>
            <wp:effectExtent l="0" t="0" r="2540" b="1079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481D1">
      <w:pPr>
        <w:pStyle w:val="5"/>
        <w:spacing w:before="156" w:after="156"/>
        <w:rPr>
          <w:rFonts w:hint="eastAsia" w:eastAsia="宋体"/>
          <w:lang w:val="en-US" w:eastAsia="zh-CN"/>
        </w:rPr>
      </w:pPr>
    </w:p>
    <w:p w14:paraId="5C775D66">
      <w:pPr>
        <w:bidi w:val="0"/>
        <w:rPr>
          <w:rFonts w:hint="eastAsia"/>
          <w:lang w:val="en-US" w:eastAsia="zh-CN"/>
        </w:rPr>
      </w:pPr>
    </w:p>
    <w:p w14:paraId="51CB5418">
      <w:pPr>
        <w:pStyle w:val="5"/>
        <w:spacing w:before="156" w:after="156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>2</w:t>
      </w:r>
      <w:r>
        <w:rPr>
          <w:rFonts w:hint="eastAsia"/>
          <w:lang w:eastAsia="zh-Hans"/>
        </w:rPr>
        <w:t>.1</w:t>
      </w:r>
      <w:r>
        <w:rPr>
          <w:rFonts w:hint="eastAsia"/>
        </w:rPr>
        <w:t xml:space="preserve"> 口腔正畸托槽产品特征</w:t>
      </w:r>
      <w:r>
        <w:rPr>
          <w:rFonts w:hint="eastAsia" w:eastAsia="宋体"/>
          <w:lang w:eastAsia="zh-CN"/>
        </w:rPr>
        <w:t>维护品种及名词解释</w:t>
      </w:r>
    </w:p>
    <w:p w14:paraId="17B84EAD">
      <w:pPr>
        <w:ind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eastAsia="zh-Hans"/>
        </w:rPr>
        <w:t>.1</w:t>
      </w:r>
      <w:r>
        <w:rPr>
          <w:rFonts w:hint="eastAsia"/>
          <w:lang w:val="en-US" w:eastAsia="zh-CN"/>
        </w:rPr>
        <w:t>.1维护品种</w:t>
      </w:r>
    </w:p>
    <w:p w14:paraId="47CA0420">
      <w:pPr>
        <w:ind w:firstLine="48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隐形矫治器、颊面管及带环、标准套托槽（自锁金属托槽、自锁陶瓷托槽、普通陶瓷托槽）</w:t>
      </w:r>
    </w:p>
    <w:p w14:paraId="07A13910">
      <w:pPr>
        <w:ind w:firstLine="48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  <w:lang w:eastAsia="zh-Hans"/>
        </w:rPr>
        <w:t>.1</w:t>
      </w:r>
      <w:r>
        <w:rPr>
          <w:rFonts w:hint="eastAsia"/>
          <w:lang w:val="en-US" w:eastAsia="zh-CN"/>
        </w:rPr>
        <w:t>.2</w:t>
      </w:r>
      <w:r>
        <w:rPr>
          <w:rFonts w:hint="eastAsia"/>
          <w:lang w:eastAsia="zh-CN"/>
        </w:rPr>
        <w:t>名词解释</w:t>
      </w:r>
    </w:p>
    <w:p w14:paraId="6348A666">
      <w:pPr>
        <w:ind w:firstLine="480"/>
        <w:rPr>
          <w:rFonts w:hint="eastAsia"/>
          <w:lang w:eastAsia="zh-CN"/>
        </w:rPr>
      </w:pPr>
      <w:r>
        <w:rPr>
          <w:rFonts w:hint="eastAsia"/>
          <w:lang w:eastAsia="zh-CN"/>
        </w:rPr>
        <w:t>单层膜片：由单一均质材料（如PETG或TPU）制成的膜片</w:t>
      </w:r>
    </w:p>
    <w:p w14:paraId="30D949A9">
      <w:pPr>
        <w:ind w:firstLine="480"/>
        <w:rPr>
          <w:rFonts w:hint="eastAsia"/>
          <w:lang w:eastAsia="zh-CN"/>
        </w:rPr>
      </w:pPr>
      <w:r>
        <w:rPr>
          <w:rFonts w:hint="eastAsia"/>
          <w:lang w:eastAsia="zh-CN"/>
        </w:rPr>
        <w:t>多层复合膜片：由两层及以上不同材质、不同物理性能的材料复合而成的多层膜片</w:t>
      </w:r>
    </w:p>
    <w:p w14:paraId="1A16B194">
      <w:pPr>
        <w:ind w:firstLine="480"/>
        <w:rPr>
          <w:rFonts w:hint="eastAsia"/>
          <w:lang w:eastAsia="zh-CN"/>
        </w:rPr>
      </w:pPr>
      <w:r>
        <w:rPr>
          <w:rFonts w:hint="eastAsia"/>
          <w:lang w:eastAsia="zh-CN"/>
        </w:rPr>
        <w:t>单模：单个治疗步骤使用单一功能单一材质的矫治器</w:t>
      </w:r>
    </w:p>
    <w:p w14:paraId="77D362D7">
      <w:pPr>
        <w:ind w:firstLine="480"/>
        <w:rPr>
          <w:rFonts w:hint="eastAsia"/>
          <w:lang w:eastAsia="zh-Hans"/>
        </w:rPr>
      </w:pPr>
      <w:r>
        <w:rPr>
          <w:rFonts w:hint="eastAsia"/>
          <w:lang w:eastAsia="zh-Hans"/>
        </w:rPr>
        <w:t>双模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Hans"/>
        </w:rPr>
        <w:t>单个治疗步骤使用两个不同功能不同材质的矫治器</w:t>
      </w:r>
    </w:p>
    <w:p w14:paraId="5B960AB5">
      <w:pPr>
        <w:ind w:firstLine="480"/>
        <w:rPr>
          <w:rFonts w:hint="eastAsia"/>
          <w:lang w:eastAsia="zh-Hans"/>
        </w:rPr>
      </w:pPr>
      <w:r>
        <w:rPr>
          <w:rFonts w:hint="eastAsia"/>
          <w:lang w:eastAsia="zh-Hans"/>
        </w:rPr>
        <w:t>球面</w:t>
      </w:r>
      <w:r>
        <w:rPr>
          <w:rFonts w:hint="eastAsia"/>
          <w:lang w:eastAsia="zh-CN"/>
        </w:rPr>
        <w:t>：</w:t>
      </w:r>
      <w:r>
        <w:rPr>
          <w:rFonts w:hint="eastAsia"/>
          <w:lang w:eastAsia="zh-Hans"/>
        </w:rPr>
        <w:t>近远中及龈合向均为球面或椭球面，除牵引钩外无角形及突起等结构点</w:t>
      </w:r>
      <w:r>
        <w:rPr>
          <w:rFonts w:hint="eastAsia"/>
          <w:b/>
          <w:bCs/>
          <w:color w:val="FF0000"/>
          <w:lang w:eastAsia="zh-Hans"/>
        </w:rPr>
        <w:t>（以注册证为准）</w:t>
      </w:r>
    </w:p>
    <w:p w14:paraId="199E3398">
      <w:pPr>
        <w:pStyle w:val="5"/>
        <w:spacing w:before="156" w:after="156"/>
      </w:pPr>
      <w:r>
        <w:rPr>
          <w:rFonts w:hint="eastAsia" w:eastAsia="宋体"/>
          <w:lang w:val="en-US" w:eastAsia="zh-CN"/>
        </w:rPr>
        <w:t>2</w:t>
      </w:r>
      <w:r>
        <w:rPr>
          <w:rFonts w:hint="eastAsia"/>
          <w:lang w:eastAsia="zh-Hans"/>
        </w:rPr>
        <w:t>.</w:t>
      </w:r>
      <w:r>
        <w:rPr>
          <w:rFonts w:hint="eastAsia" w:eastAsia="宋体"/>
          <w:lang w:val="en-US" w:eastAsia="zh-CN"/>
        </w:rPr>
        <w:t>2</w:t>
      </w:r>
      <w:r>
        <w:rPr>
          <w:rFonts w:hint="eastAsia"/>
        </w:rPr>
        <w:t>口腔正畸托槽产品特征</w:t>
      </w:r>
      <w:r>
        <w:rPr>
          <w:rFonts w:hint="eastAsia"/>
          <w:lang w:eastAsia="zh-CN"/>
        </w:rPr>
        <w:t>维护</w:t>
      </w:r>
      <w:r>
        <w:rPr>
          <w:rFonts w:hint="eastAsia"/>
        </w:rPr>
        <w:t>流程：</w:t>
      </w:r>
    </w:p>
    <w:p w14:paraId="058E54D8">
      <w:pPr>
        <w:numPr>
          <w:ilvl w:val="0"/>
          <w:numId w:val="9"/>
        </w:numPr>
        <w:ind w:firstLineChars="0"/>
      </w:pPr>
      <w:r>
        <w:rPr>
          <w:rFonts w:hint="eastAsia"/>
          <w:lang w:val="en-US" w:eastAsia="zh-CN"/>
        </w:rPr>
        <w:t>补填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产品特征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，并提交</w:t>
      </w:r>
    </w:p>
    <w:p w14:paraId="5B1D3EE3">
      <w:pPr>
        <w:numPr>
          <w:ilvl w:val="0"/>
          <w:numId w:val="9"/>
        </w:numPr>
        <w:ind w:firstLineChars="0"/>
      </w:pPr>
      <w:r>
        <w:rPr>
          <w:rFonts w:hint="eastAsia"/>
          <w:lang w:val="en-US" w:eastAsia="zh-CN"/>
        </w:rPr>
        <w:t>上传承诺函资质文件</w:t>
      </w:r>
    </w:p>
    <w:p w14:paraId="406666B2">
      <w:pPr>
        <w:ind w:firstLine="480" w:firstLineChars="0"/>
      </w:pPr>
      <w:bookmarkStart w:id="5" w:name="_GoBack"/>
      <w:bookmarkEnd w:id="5"/>
      <w:r>
        <w:rPr>
          <w:rFonts w:hint="eastAsia"/>
        </w:rPr>
        <w:t>注意事项：</w:t>
      </w:r>
    </w:p>
    <w:p w14:paraId="5E505AC7">
      <w:pPr>
        <w:numPr>
          <w:ilvl w:val="0"/>
          <w:numId w:val="10"/>
        </w:numPr>
        <w:ind w:firstLineChars="0"/>
      </w:pPr>
      <w:r>
        <w:t xml:space="preserve"> </w:t>
      </w:r>
      <w:r>
        <w:rPr>
          <w:rFonts w:hint="eastAsia"/>
          <w:lang w:val="en-US" w:eastAsia="zh-CN"/>
        </w:rPr>
        <w:t>企业须在“规定时间范围内”</w:t>
      </w:r>
      <w:r>
        <w:rPr>
          <w:rFonts w:hint="eastAsia"/>
          <w:b/>
          <w:bCs/>
          <w:lang w:val="en-US" w:eastAsia="zh-CN"/>
        </w:rPr>
        <w:t>完成所有需维护特征产品</w:t>
      </w:r>
      <w:r>
        <w:rPr>
          <w:rFonts w:hint="eastAsia"/>
          <w:lang w:val="en-US" w:eastAsia="zh-CN"/>
        </w:rPr>
        <w:t>的填报工作</w:t>
      </w:r>
      <w:r>
        <w:rPr>
          <w:rFonts w:hint="eastAsia"/>
          <w:lang w:val="en-US" w:eastAsia="zh-CN"/>
        </w:rPr>
        <w:t>，方可进行承诺函等资质文件的提交。产品特征和承诺书文件均为必填项，需全部完成提交，</w:t>
      </w:r>
      <w:r>
        <w:rPr>
          <w:rFonts w:hint="eastAsia"/>
          <w:b/>
          <w:bCs/>
          <w:lang w:val="en-US" w:eastAsia="zh-CN"/>
        </w:rPr>
        <w:t>请务必重视</w:t>
      </w:r>
      <w:r>
        <w:rPr>
          <w:rFonts w:hint="eastAsia"/>
          <w:lang w:val="en-US" w:eastAsia="zh-CN"/>
        </w:rPr>
        <w:t>。</w:t>
      </w:r>
    </w:p>
    <w:p w14:paraId="37BB305B">
      <w:pPr>
        <w:numPr>
          <w:ilvl w:val="0"/>
          <w:numId w:val="10"/>
        </w:numPr>
        <w:ind w:firstLineChars="0"/>
      </w:pPr>
      <w:r>
        <w:rPr>
          <w:rFonts w:hint="eastAsia"/>
          <w:lang w:val="en-US" w:eastAsia="zh-CN"/>
        </w:rPr>
        <w:t>资质文件必须上传pdf、doc、docx格式的文件。</w:t>
      </w:r>
    </w:p>
    <w:p w14:paraId="2193CD4B">
      <w:pPr>
        <w:ind w:firstLine="480" w:firstLineChars="0"/>
      </w:pPr>
    </w:p>
    <w:p w14:paraId="43262566">
      <w:pPr>
        <w:ind w:firstLine="480"/>
        <w:rPr>
          <w:rFonts w:hint="eastAsia"/>
        </w:rPr>
      </w:pPr>
    </w:p>
    <w:p w14:paraId="7D43F4C6">
      <w:pPr>
        <w:ind w:firstLine="480"/>
        <w:rPr>
          <w:rFonts w:hint="eastAsia"/>
          <w:lang w:eastAsia="zh-Hans"/>
        </w:rPr>
      </w:pPr>
      <w:r>
        <w:rPr>
          <w:rFonts w:hint="eastAsia"/>
          <w:lang w:eastAsia="zh-Hans"/>
        </w:rPr>
        <w:t>进入招采系统看到以下界面，点击【</w:t>
      </w:r>
      <w:r>
        <w:rPr>
          <w:rFonts w:hint="eastAsia"/>
          <w:lang w:val="en-US" w:eastAsia="zh-CN"/>
        </w:rPr>
        <w:t>耗材基础库（扩展）</w:t>
      </w:r>
      <w:r>
        <w:rPr>
          <w:rFonts w:hint="eastAsia"/>
          <w:lang w:eastAsia="zh-Hans"/>
        </w:rPr>
        <w:t>】模块。</w:t>
      </w:r>
    </w:p>
    <w:p w14:paraId="22F6700B">
      <w:pPr>
        <w:ind w:firstLine="0" w:firstLineChars="0"/>
      </w:pPr>
      <w:r>
        <w:drawing>
          <wp:inline distT="0" distB="0" distL="114300" distR="114300">
            <wp:extent cx="5266690" cy="2943860"/>
            <wp:effectExtent l="0" t="0" r="1016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F979">
      <w:pPr>
        <w:ind w:firstLine="0" w:firstLineChars="0"/>
        <w:rPr>
          <w:rFonts w:hint="eastAsia" w:eastAsia="宋体"/>
          <w:lang w:eastAsia="zh-CN"/>
        </w:rPr>
      </w:pPr>
    </w:p>
    <w:p w14:paraId="70390C96">
      <w:pPr>
        <w:ind w:firstLine="0" w:firstLineChars="0"/>
        <w:rPr>
          <w:rFonts w:hint="eastAsia"/>
        </w:rPr>
      </w:pPr>
    </w:p>
    <w:p w14:paraId="440B4F3E">
      <w:pPr>
        <w:ind w:firstLine="480"/>
        <w:rPr>
          <w:lang w:eastAsia="zh-Hans"/>
        </w:rPr>
      </w:pPr>
      <w:r>
        <w:rPr>
          <w:rFonts w:hint="eastAsia"/>
          <w:lang w:eastAsia="zh-Hans"/>
        </w:rPr>
        <w:t>进入【</w:t>
      </w:r>
      <w:r>
        <w:rPr>
          <w:rFonts w:hint="eastAsia"/>
          <w:lang w:val="en-US" w:eastAsia="zh-CN"/>
        </w:rPr>
        <w:t>耗材基础库（扩展）</w:t>
      </w:r>
      <w:r>
        <w:rPr>
          <w:rFonts w:hint="eastAsia"/>
          <w:lang w:eastAsia="zh-Hans"/>
        </w:rPr>
        <w:t>】模块，可以看到以下界面，点击</w:t>
      </w:r>
      <w:r>
        <w:rPr>
          <w:rFonts w:hint="eastAsia"/>
        </w:rPr>
        <w:t>“带量采购产品管理”</w:t>
      </w:r>
      <w:r>
        <w:rPr>
          <w:rFonts w:hint="eastAsia"/>
          <w:lang w:eastAsia="zh-Hans"/>
        </w:rPr>
        <w:t>按钮，进入</w:t>
      </w:r>
      <w:r>
        <w:rPr>
          <w:rFonts w:hint="eastAsia"/>
        </w:rPr>
        <w:t>“带量采购产品管理模块”</w:t>
      </w:r>
      <w:r>
        <w:rPr>
          <w:rFonts w:hint="eastAsia"/>
          <w:lang w:eastAsia="zh-CN"/>
        </w:rPr>
        <w:t>，选择“口腔正畸托槽省际联盟集中带量采购产品信息申报”列表</w:t>
      </w:r>
      <w:r>
        <w:rPr>
          <w:rFonts w:hint="eastAsia"/>
          <w:lang w:eastAsia="zh-Hans"/>
        </w:rPr>
        <w:t>。</w:t>
      </w:r>
    </w:p>
    <w:p w14:paraId="3932BC66">
      <w:pPr>
        <w:ind w:firstLine="0" w:firstLineChars="0"/>
      </w:pPr>
      <w:r>
        <w:drawing>
          <wp:inline distT="0" distB="0" distL="114300" distR="114300">
            <wp:extent cx="5264150" cy="2924810"/>
            <wp:effectExtent l="0" t="0" r="12700" b="889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19334">
      <w:pPr>
        <w:ind w:firstLine="0" w:firstLineChars="0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8595" cy="2910205"/>
            <wp:effectExtent l="0" t="0" r="8255" b="444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1C6FF">
      <w:pPr>
        <w:ind w:firstLine="0" w:firstLineChars="0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  <w:lang w:val="en-US" w:eastAsia="zh-CN"/>
        </w:rPr>
        <w:t>点击【</w:t>
      </w:r>
      <w:r>
        <w:drawing>
          <wp:inline distT="0" distB="0" distL="114300" distR="114300">
            <wp:extent cx="1114425" cy="247650"/>
            <wp:effectExtent l="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】按钮，进入</w:t>
      </w:r>
      <w:r>
        <w:rPr>
          <w:rFonts w:ascii="Arial" w:hAnsi="Arial" w:eastAsia="宋体" w:cs="Arial"/>
          <w:b/>
          <w:bCs/>
          <w:i w:val="0"/>
          <w:iCs w:val="0"/>
          <w:caps w:val="0"/>
          <w:color w:val="303133"/>
          <w:spacing w:val="0"/>
          <w:sz w:val="24"/>
          <w:szCs w:val="24"/>
          <w:shd w:val="clear" w:fill="FFFFFF"/>
        </w:rPr>
        <w:t>信息采集列表</w:t>
      </w: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031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/>
          <w:lang w:val="en-US" w:eastAsia="zh-CN"/>
        </w:rPr>
        <w:t>显示以下页面</w:t>
      </w:r>
    </w:p>
    <w:p w14:paraId="7ED62800">
      <w:pPr>
        <w:ind w:firstLine="0" w:firstLineChars="0"/>
      </w:pPr>
      <w:r>
        <w:drawing>
          <wp:inline distT="0" distB="0" distL="114300" distR="114300">
            <wp:extent cx="5270500" cy="2908300"/>
            <wp:effectExtent l="0" t="0" r="6350" b="635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B9EA9">
      <w:pPr>
        <w:ind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企业根据</w:t>
      </w:r>
      <w:r>
        <w:rPr>
          <w:rFonts w:hint="eastAsia"/>
          <w:b/>
          <w:bCs/>
          <w:color w:val="FF0000"/>
          <w:lang w:val="en-US" w:eastAsia="zh-CN"/>
        </w:rPr>
        <w:t>“是否补填产品特征”</w:t>
      </w:r>
      <w:r>
        <w:rPr>
          <w:rFonts w:hint="eastAsia"/>
          <w:lang w:val="en-US" w:eastAsia="zh-CN"/>
        </w:rPr>
        <w:t>和</w:t>
      </w:r>
      <w:r>
        <w:rPr>
          <w:rFonts w:hint="default"/>
          <w:b/>
          <w:bCs/>
          <w:color w:val="FF0000"/>
          <w:lang w:val="en-US" w:eastAsia="zh-CN"/>
        </w:rPr>
        <w:t>”</w:t>
      </w:r>
      <w:r>
        <w:rPr>
          <w:rFonts w:hint="eastAsia"/>
          <w:b/>
          <w:bCs/>
          <w:color w:val="FF0000"/>
          <w:lang w:val="en-US" w:eastAsia="zh-CN"/>
        </w:rPr>
        <w:t>是否已维护产品特征</w:t>
      </w:r>
      <w:r>
        <w:rPr>
          <w:rFonts w:hint="default"/>
          <w:b/>
          <w:bCs/>
          <w:color w:val="FF0000"/>
          <w:lang w:val="en-US" w:eastAsia="zh-CN"/>
        </w:rPr>
        <w:t>”</w:t>
      </w:r>
      <w:r>
        <w:rPr>
          <w:rFonts w:hint="eastAsia"/>
          <w:lang w:val="en-US" w:eastAsia="zh-CN"/>
        </w:rPr>
        <w:t>进行组合查询，查询需维护的产品。</w:t>
      </w:r>
    </w:p>
    <w:p w14:paraId="3DFBA210">
      <w:pPr>
        <w:ind w:firstLine="0" w:firstLineChars="0"/>
      </w:pPr>
      <w:r>
        <w:drawing>
          <wp:inline distT="0" distB="0" distL="114300" distR="114300">
            <wp:extent cx="5257800" cy="2942590"/>
            <wp:effectExtent l="0" t="0" r="0" b="1016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2E172">
      <w:pPr>
        <w:ind w:firstLine="0" w:firstLineChars="0"/>
      </w:pPr>
      <w:r>
        <w:rPr>
          <w:rFonts w:hint="eastAsia"/>
          <w:lang w:val="en-US" w:eastAsia="zh-CN"/>
        </w:rPr>
        <w:t>点击【</w:t>
      </w:r>
      <w:r>
        <w:drawing>
          <wp:inline distT="0" distB="0" distL="114300" distR="114300">
            <wp:extent cx="771525" cy="161925"/>
            <wp:effectExtent l="0" t="0" r="9525" b="952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】按钮，进入补填页面，</w:t>
      </w:r>
      <w:r>
        <w:drawing>
          <wp:inline distT="0" distB="0" distL="114300" distR="114300">
            <wp:extent cx="5271135" cy="2920365"/>
            <wp:effectExtent l="0" t="0" r="5715" b="1333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AAE6A">
      <w:pPr>
        <w:ind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企业选择“产品特征”，确认无误后点击提交，提交后返回列表页面</w:t>
      </w:r>
    </w:p>
    <w:p w14:paraId="7DE70C46">
      <w:pPr>
        <w:ind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934970"/>
            <wp:effectExtent l="0" t="0" r="5715" b="1778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FE842">
      <w:pPr>
        <w:ind w:firstLine="0" w:firstLineChars="0"/>
        <w:rPr>
          <w:rFonts w:hint="eastAsia"/>
          <w:lang w:val="en-US" w:eastAsia="zh-CN"/>
        </w:rPr>
      </w:pPr>
    </w:p>
    <w:p w14:paraId="06478367">
      <w:pPr>
        <w:ind w:firstLine="0" w:firstLineChars="0"/>
        <w:rPr>
          <w:rFonts w:hint="eastAsia"/>
          <w:lang w:val="en-US" w:eastAsia="zh-CN"/>
        </w:rPr>
      </w:pPr>
    </w:p>
    <w:p w14:paraId="4FD7B5B5">
      <w:pPr>
        <w:ind w:firstLine="0" w:firstLineChars="0"/>
        <w:rPr>
          <w:rFonts w:hint="eastAsia"/>
          <w:lang w:val="en-US" w:eastAsia="zh-CN"/>
        </w:rPr>
      </w:pPr>
    </w:p>
    <w:p w14:paraId="2C0B10CC">
      <w:pPr>
        <w:ind w:firstLine="0" w:firstLineChars="0"/>
        <w:rPr>
          <w:rFonts w:hint="eastAsia"/>
          <w:lang w:val="en-US" w:eastAsia="zh-CN"/>
        </w:rPr>
      </w:pPr>
    </w:p>
    <w:p w14:paraId="1BC00895">
      <w:pPr>
        <w:ind w:firstLine="0" w:firstLineChars="0"/>
      </w:pPr>
      <w:r>
        <w:rPr>
          <w:rFonts w:hint="eastAsia"/>
          <w:lang w:val="en-US" w:eastAsia="zh-CN"/>
        </w:rPr>
        <w:t>点击【</w:t>
      </w:r>
      <w:r>
        <w:drawing>
          <wp:inline distT="0" distB="0" distL="114300" distR="114300">
            <wp:extent cx="619125" cy="209550"/>
            <wp:effectExtent l="0" t="0" r="9525" b="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】按钮，进入承诺函维护页面，如果未完成全部产品的信息采集，则不允许进入该页面</w:t>
      </w:r>
      <w:r>
        <w:drawing>
          <wp:inline distT="0" distB="0" distL="114300" distR="114300">
            <wp:extent cx="5260340" cy="2877185"/>
            <wp:effectExtent l="0" t="0" r="16510" b="1841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296E0">
      <w:pPr>
        <w:ind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</w:t>
      </w:r>
      <w:r>
        <w:drawing>
          <wp:inline distT="0" distB="0" distL="114300" distR="114300">
            <wp:extent cx="619125" cy="209550"/>
            <wp:effectExtent l="0" t="0" r="9525" b="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】按钮，进入承诺函维护页面，维护相关资质，维护成功后点击“提交承诺函”按钮</w:t>
      </w:r>
    </w:p>
    <w:p w14:paraId="187C8CF5">
      <w:pPr>
        <w:ind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927985"/>
            <wp:effectExtent l="0" t="0" r="4445" b="571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5D9DF2"/>
    <w:multiLevelType w:val="singleLevel"/>
    <w:tmpl w:val="BE5D9DF2"/>
    <w:lvl w:ilvl="0" w:tentative="0">
      <w:start w:val="1"/>
      <w:numFmt w:val="decimalEnclosedCircleChinese"/>
      <w:suff w:val="nothing"/>
      <w:lvlText w:val="%1　"/>
      <w:lvlJc w:val="left"/>
      <w:pPr>
        <w:ind w:left="560" w:firstLine="400"/>
      </w:pPr>
    </w:lvl>
  </w:abstractNum>
  <w:abstractNum w:abstractNumId="1">
    <w:nsid w:val="FB78365C"/>
    <w:multiLevelType w:val="multilevel"/>
    <w:tmpl w:val="FB78365C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5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6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06437394"/>
    <w:multiLevelType w:val="singleLevel"/>
    <w:tmpl w:val="06437394"/>
    <w:lvl w:ilvl="0" w:tentative="0">
      <w:start w:val="1"/>
      <w:numFmt w:val="decimalEnclosedCircleChinese"/>
      <w:suff w:val="nothing"/>
      <w:lvlText w:val="%1　"/>
      <w:lvlJc w:val="left"/>
      <w:pPr>
        <w:ind w:left="560" w:firstLine="400"/>
      </w:pPr>
    </w:lvl>
  </w:abstractNum>
  <w:abstractNum w:abstractNumId="9">
    <w:nsid w:val="1B0D03C2"/>
    <w:multiLevelType w:val="multilevel"/>
    <w:tmpl w:val="1B0D03C2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061963"/>
    <w:rsid w:val="02AE7B1F"/>
    <w:rsid w:val="07610759"/>
    <w:rsid w:val="07EA0E72"/>
    <w:rsid w:val="09572537"/>
    <w:rsid w:val="0BCF0AAA"/>
    <w:rsid w:val="0D9F67C8"/>
    <w:rsid w:val="0DC12235"/>
    <w:rsid w:val="0E133D1E"/>
    <w:rsid w:val="1223711A"/>
    <w:rsid w:val="13A43BC7"/>
    <w:rsid w:val="16C23925"/>
    <w:rsid w:val="17875FF8"/>
    <w:rsid w:val="191820D6"/>
    <w:rsid w:val="191D7DDA"/>
    <w:rsid w:val="26701A6B"/>
    <w:rsid w:val="27275C9C"/>
    <w:rsid w:val="289C124B"/>
    <w:rsid w:val="2D576142"/>
    <w:rsid w:val="2F991EA5"/>
    <w:rsid w:val="31014620"/>
    <w:rsid w:val="33E800AC"/>
    <w:rsid w:val="368045CB"/>
    <w:rsid w:val="36FD7BA8"/>
    <w:rsid w:val="38415FDC"/>
    <w:rsid w:val="384E56AD"/>
    <w:rsid w:val="3EEF22EE"/>
    <w:rsid w:val="40FB7670"/>
    <w:rsid w:val="41083E35"/>
    <w:rsid w:val="42DD1142"/>
    <w:rsid w:val="44D81A76"/>
    <w:rsid w:val="46C65335"/>
    <w:rsid w:val="46FC750A"/>
    <w:rsid w:val="4B5A04D8"/>
    <w:rsid w:val="4F9203F3"/>
    <w:rsid w:val="53C41B44"/>
    <w:rsid w:val="54CB6F02"/>
    <w:rsid w:val="57825F9E"/>
    <w:rsid w:val="60EE0200"/>
    <w:rsid w:val="619E0847"/>
    <w:rsid w:val="61B54AD2"/>
    <w:rsid w:val="670C5884"/>
    <w:rsid w:val="69B144C0"/>
    <w:rsid w:val="6AE82164"/>
    <w:rsid w:val="6C3B71C1"/>
    <w:rsid w:val="6DCC6325"/>
    <w:rsid w:val="6F087079"/>
    <w:rsid w:val="6F7B4F13"/>
    <w:rsid w:val="706978A3"/>
    <w:rsid w:val="712B4B58"/>
    <w:rsid w:val="721E3BEC"/>
    <w:rsid w:val="73512CCA"/>
    <w:rsid w:val="74275AAB"/>
    <w:rsid w:val="764C0E19"/>
    <w:rsid w:val="76ED5F8C"/>
    <w:rsid w:val="775C3CBE"/>
    <w:rsid w:val="77866241"/>
    <w:rsid w:val="7851639A"/>
    <w:rsid w:val="79586707"/>
    <w:rsid w:val="79AE5C79"/>
    <w:rsid w:val="7B2A7C2F"/>
    <w:rsid w:val="7D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324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4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B579A"/>
      <w:sz w:val="28"/>
      <w:szCs w:val="28"/>
    </w:rPr>
  </w:style>
  <w:style w:type="paragraph" w:styleId="5">
    <w:name w:val="heading 2"/>
    <w:basedOn w:val="4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2B579A"/>
      <w:sz w:val="26"/>
      <w:szCs w:val="26"/>
    </w:rPr>
  </w:style>
  <w:style w:type="paragraph" w:styleId="6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2B579A"/>
    </w:rPr>
  </w:style>
  <w:style w:type="paragraph" w:styleId="7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4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character" w:customStyle="1" w:styleId="138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3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3"/>
    <w:link w:val="20"/>
    <w:qFormat/>
    <w:uiPriority w:val="99"/>
  </w:style>
  <w:style w:type="character" w:customStyle="1" w:styleId="145">
    <w:name w:val="Body Text 2 Char"/>
    <w:basedOn w:val="133"/>
    <w:link w:val="29"/>
    <w:qFormat/>
    <w:uiPriority w:val="99"/>
  </w:style>
  <w:style w:type="character" w:customStyle="1" w:styleId="146">
    <w:name w:val="Body Text 3 Char"/>
    <w:basedOn w:val="133"/>
    <w:link w:val="18"/>
    <w:qFormat/>
    <w:uiPriority w:val="99"/>
    <w:rPr>
      <w:sz w:val="16"/>
      <w:szCs w:val="16"/>
    </w:rPr>
  </w:style>
  <w:style w:type="character" w:customStyle="1" w:styleId="147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3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3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3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3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3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3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3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numbering" Target="numbering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947</Words>
  <Characters>1023</Characters>
  <Lines>0</Lines>
  <Paragraphs>0</Paragraphs>
  <TotalTime>16</TotalTime>
  <ScaleCrop>false</ScaleCrop>
  <LinksUpToDate>false</LinksUpToDate>
  <CharactersWithSpaces>1029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陈小婷</cp:lastModifiedBy>
  <dcterms:modified xsi:type="dcterms:W3CDTF">2026-08-19T02:59:23Z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eyJoZGlkIjoiYjBlMDE3YWE5NmRhOTg5OTU2Y2Y2MWUzZmM0MTFmYjIiLCJ1c2VySWQiOiI2NzE1NjQzODgifQ==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BF10E01081754EF38040AFEDC4A117C7_13</vt:lpwstr>
  </property>
</Properties>
</file>