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145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5"/>
        <w:gridCol w:w="2893"/>
        <w:gridCol w:w="1256"/>
        <w:gridCol w:w="1793"/>
        <w:gridCol w:w="1283"/>
        <w:gridCol w:w="2048"/>
        <w:gridCol w:w="4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536" w:type="dxa"/>
            <w:gridSpan w:val="7"/>
            <w:tcBorders>
              <w:top w:val="nil"/>
              <w:left w:val="nil"/>
              <w:bottom w:val="single" w:color="auto" w:sz="4" w:space="0"/>
              <w:right w:val="nil"/>
            </w:tcBorders>
            <w:noWrap w:val="0"/>
            <w:vAlign w:val="center"/>
          </w:tcPr>
          <w:p>
            <w:pPr>
              <w:keepNext w:val="0"/>
              <w:keepLines w:val="0"/>
              <w:pageBreakBefore w:val="0"/>
              <w:widowControl/>
              <w:suppressLineNumbers w:val="0"/>
              <w:kinsoku/>
              <w:wordWrap/>
              <w:autoSpaceDE/>
              <w:autoSpaceDN/>
              <w:bidi w:val="0"/>
              <w:adjustRightInd/>
              <w:snapToGrid w:val="0"/>
              <w:spacing w:line="240" w:lineRule="auto"/>
              <w:ind w:left="0" w:leftChars="0" w:right="0" w:rightChars="0" w:firstLine="0" w:firstLineChars="0"/>
              <w:jc w:val="both"/>
              <w:textAlignment w:val="top"/>
              <w:rPr>
                <w:rFonts w:hint="eastAsia" w:ascii="Times New Roman" w:hAnsi="Times New Roman" w:eastAsia="方正黑体_GBK" w:cs="方正黑体_GBK"/>
                <w:i w:val="0"/>
                <w:iCs w:val="0"/>
                <w:snapToGrid w:val="0"/>
                <w:color w:val="auto"/>
                <w:kern w:val="0"/>
                <w:sz w:val="32"/>
                <w:szCs w:val="32"/>
                <w:highlight w:val="none"/>
                <w:u w:val="none"/>
                <w:lang w:val="en-US" w:eastAsia="zh-CN" w:bidi="ar"/>
              </w:rPr>
            </w:pPr>
            <w:bookmarkStart w:id="1" w:name="_GoBack"/>
            <w:bookmarkEnd w:id="1"/>
            <w:r>
              <w:rPr>
                <w:rFonts w:hint="eastAsia" w:ascii="Times New Roman" w:hAnsi="Times New Roman" w:eastAsia="方正黑体_GBK" w:cs="方正黑体_GBK"/>
                <w:i w:val="0"/>
                <w:iCs w:val="0"/>
                <w:snapToGrid w:val="0"/>
                <w:color w:val="auto"/>
                <w:kern w:val="0"/>
                <w:sz w:val="32"/>
                <w:szCs w:val="32"/>
                <w:highlight w:val="none"/>
                <w:u w:val="none"/>
                <w:lang w:val="en-US" w:eastAsia="zh-CN" w:bidi="ar"/>
              </w:rPr>
              <w:t>附件</w:t>
            </w:r>
          </w:p>
          <w:p>
            <w:pPr>
              <w:keepNext w:val="0"/>
              <w:keepLines w:val="0"/>
              <w:pageBreakBefore w:val="0"/>
              <w:widowControl/>
              <w:suppressLineNumbers w:val="0"/>
              <w:kinsoku/>
              <w:wordWrap/>
              <w:autoSpaceDE/>
              <w:autoSpaceDN/>
              <w:bidi w:val="0"/>
              <w:adjustRightInd/>
              <w:snapToGrid w:val="0"/>
              <w:spacing w:line="240" w:lineRule="auto"/>
              <w:ind w:left="0" w:leftChars="0" w:right="0" w:rightChars="0" w:firstLine="0" w:firstLineChars="0"/>
              <w:jc w:val="center"/>
              <w:textAlignment w:val="top"/>
              <w:rPr>
                <w:rFonts w:hint="default" w:ascii="Times New Roman" w:hAnsi="Times New Roman" w:eastAsia="方正小标宋_GBK" w:cs="Times New Roman"/>
                <w:i w:val="0"/>
                <w:iCs w:val="0"/>
                <w:snapToGrid w:val="0"/>
                <w:color w:val="auto"/>
                <w:kern w:val="0"/>
                <w:sz w:val="44"/>
                <w:szCs w:val="44"/>
                <w:highlight w:val="none"/>
                <w:u w:val="none"/>
                <w:lang w:val="en-US" w:eastAsia="zh-CN" w:bidi="ar"/>
              </w:rPr>
            </w:pPr>
            <w:r>
              <w:rPr>
                <w:rFonts w:hint="default" w:ascii="Times New Roman" w:hAnsi="Times New Roman" w:eastAsia="方正小标宋_GBK" w:cs="Times New Roman"/>
                <w:i w:val="0"/>
                <w:iCs w:val="0"/>
                <w:snapToGrid w:val="0"/>
                <w:color w:val="auto"/>
                <w:kern w:val="0"/>
                <w:sz w:val="44"/>
                <w:szCs w:val="44"/>
                <w:highlight w:val="none"/>
                <w:u w:val="none"/>
                <w:lang w:val="en-US" w:eastAsia="zh-CN" w:bidi="ar"/>
              </w:rPr>
              <w:t>重庆市医疗保障基金使用监督管理行政处罚裁量细则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8" w:hRule="atLeast"/>
          <w:jc w:val="center"/>
        </w:trPr>
        <w:tc>
          <w:tcPr>
            <w:tcW w:w="715"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黑体_GBK" w:cs="Times New Roman"/>
                <w:b w:val="0"/>
                <w:bCs/>
                <w:i w:val="0"/>
                <w:iCs w:val="0"/>
                <w:snapToGrid w:val="0"/>
                <w:color w:val="auto"/>
                <w:sz w:val="24"/>
                <w:szCs w:val="24"/>
                <w:highlight w:val="none"/>
                <w:u w:val="none"/>
              </w:rPr>
            </w:pPr>
            <w:r>
              <w:rPr>
                <w:rFonts w:hint="default" w:ascii="Times New Roman" w:hAnsi="Times New Roman" w:eastAsia="方正黑体_GBK" w:cs="Times New Roman"/>
                <w:b w:val="0"/>
                <w:bCs/>
                <w:snapToGrid w:val="0"/>
                <w:color w:val="auto"/>
                <w:sz w:val="24"/>
                <w:szCs w:val="18"/>
                <w:highlight w:val="none"/>
                <w:u w:val="none"/>
                <w:lang w:val="en-US" w:eastAsia="zh-CN" w:bidi="ar"/>
              </w:rPr>
              <w:t>序号</w:t>
            </w:r>
          </w:p>
        </w:tc>
        <w:tc>
          <w:tcPr>
            <w:tcW w:w="289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黑体_GBK" w:cs="Times New Roman"/>
                <w:b w:val="0"/>
                <w:bCs/>
                <w:i w:val="0"/>
                <w:iCs w:val="0"/>
                <w:snapToGrid w:val="0"/>
                <w:color w:val="auto"/>
                <w:sz w:val="24"/>
                <w:szCs w:val="24"/>
                <w:highlight w:val="none"/>
                <w:u w:val="none"/>
              </w:rPr>
            </w:pPr>
            <w:r>
              <w:rPr>
                <w:rFonts w:hint="default" w:ascii="Times New Roman" w:hAnsi="Times New Roman" w:eastAsia="方正黑体_GBK" w:cs="Times New Roman"/>
                <w:b w:val="0"/>
                <w:bCs/>
                <w:snapToGrid w:val="0"/>
                <w:color w:val="auto"/>
                <w:sz w:val="24"/>
                <w:szCs w:val="18"/>
                <w:highlight w:val="none"/>
                <w:u w:val="none"/>
                <w:lang w:val="en-US" w:eastAsia="zh-CN" w:bidi="ar"/>
              </w:rPr>
              <w:t>违法行为</w:t>
            </w:r>
          </w:p>
        </w:tc>
        <w:tc>
          <w:tcPr>
            <w:tcW w:w="125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黑体_GBK" w:cs="Times New Roman"/>
                <w:b w:val="0"/>
                <w:bCs/>
                <w:i w:val="0"/>
                <w:iCs w:val="0"/>
                <w:snapToGrid w:val="0"/>
                <w:color w:val="auto"/>
                <w:sz w:val="24"/>
                <w:szCs w:val="24"/>
                <w:highlight w:val="none"/>
                <w:u w:val="none"/>
              </w:rPr>
            </w:pPr>
            <w:r>
              <w:rPr>
                <w:rFonts w:hint="default" w:ascii="Times New Roman" w:hAnsi="Times New Roman" w:eastAsia="方正黑体_GBK" w:cs="Times New Roman"/>
                <w:b w:val="0"/>
                <w:bCs/>
                <w:snapToGrid w:val="0"/>
                <w:color w:val="auto"/>
                <w:sz w:val="24"/>
                <w:szCs w:val="18"/>
                <w:highlight w:val="none"/>
                <w:u w:val="none"/>
                <w:lang w:val="en-US" w:eastAsia="zh-CN" w:bidi="ar"/>
              </w:rPr>
              <w:t>法律依据</w:t>
            </w:r>
          </w:p>
        </w:tc>
        <w:tc>
          <w:tcPr>
            <w:tcW w:w="179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黑体_GBK" w:cs="Times New Roman"/>
                <w:b w:val="0"/>
                <w:bCs/>
                <w:i w:val="0"/>
                <w:iCs w:val="0"/>
                <w:snapToGrid w:val="0"/>
                <w:color w:val="auto"/>
                <w:sz w:val="24"/>
                <w:szCs w:val="24"/>
                <w:highlight w:val="none"/>
                <w:u w:val="none"/>
              </w:rPr>
            </w:pPr>
            <w:r>
              <w:rPr>
                <w:rFonts w:hint="default" w:ascii="Times New Roman" w:hAnsi="Times New Roman" w:eastAsia="方正黑体_GBK" w:cs="Times New Roman"/>
                <w:b w:val="0"/>
                <w:bCs/>
                <w:snapToGrid w:val="0"/>
                <w:color w:val="auto"/>
                <w:sz w:val="24"/>
                <w:szCs w:val="18"/>
                <w:highlight w:val="none"/>
                <w:u w:val="none"/>
                <w:lang w:val="en-US" w:eastAsia="zh-CN" w:bidi="ar"/>
              </w:rPr>
              <w:t>法律责任</w:t>
            </w:r>
          </w:p>
        </w:tc>
        <w:tc>
          <w:tcPr>
            <w:tcW w:w="128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黑体_GBK" w:cs="Times New Roman"/>
                <w:b w:val="0"/>
                <w:bCs/>
                <w:i w:val="0"/>
                <w:iCs w:val="0"/>
                <w:snapToGrid w:val="0"/>
                <w:color w:val="auto"/>
                <w:sz w:val="24"/>
                <w:szCs w:val="24"/>
                <w:highlight w:val="none"/>
                <w:u w:val="none"/>
              </w:rPr>
            </w:pPr>
            <w:r>
              <w:rPr>
                <w:rFonts w:hint="default" w:ascii="Times New Roman" w:hAnsi="Times New Roman" w:eastAsia="方正黑体_GBK" w:cs="Times New Roman"/>
                <w:b w:val="0"/>
                <w:bCs/>
                <w:snapToGrid w:val="0"/>
                <w:color w:val="auto"/>
                <w:sz w:val="24"/>
                <w:szCs w:val="18"/>
                <w:highlight w:val="none"/>
                <w:u w:val="none"/>
                <w:lang w:val="en-US" w:eastAsia="zh-CN" w:bidi="ar"/>
              </w:rPr>
              <w:t>违法等次</w:t>
            </w:r>
          </w:p>
        </w:tc>
        <w:tc>
          <w:tcPr>
            <w:tcW w:w="2048" w:type="dxa"/>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黑体_GBK" w:cs="Times New Roman"/>
                <w:b w:val="0"/>
                <w:bCs/>
                <w:i w:val="0"/>
                <w:iCs w:val="0"/>
                <w:snapToGrid w:val="0"/>
                <w:color w:val="auto"/>
                <w:sz w:val="24"/>
                <w:szCs w:val="24"/>
                <w:highlight w:val="none"/>
                <w:u w:val="none"/>
              </w:rPr>
            </w:pPr>
            <w:r>
              <w:rPr>
                <w:rFonts w:hint="default" w:ascii="Times New Roman" w:hAnsi="Times New Roman" w:eastAsia="方正黑体_GBK" w:cs="Times New Roman"/>
                <w:b w:val="0"/>
                <w:bCs/>
                <w:snapToGrid w:val="0"/>
                <w:color w:val="auto"/>
                <w:sz w:val="24"/>
                <w:szCs w:val="24"/>
                <w:highlight w:val="none"/>
                <w:u w:val="none"/>
                <w:lang w:val="en-US" w:eastAsia="zh-CN" w:bidi="ar"/>
              </w:rPr>
              <w:t>违法情形</w:t>
            </w:r>
          </w:p>
        </w:tc>
        <w:tc>
          <w:tcPr>
            <w:tcW w:w="4548"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黑体_GBK" w:cs="Times New Roman"/>
                <w:b w:val="0"/>
                <w:bCs/>
                <w:i w:val="0"/>
                <w:iCs w:val="0"/>
                <w:snapToGrid w:val="0"/>
                <w:color w:val="auto"/>
                <w:sz w:val="24"/>
                <w:szCs w:val="24"/>
                <w:highlight w:val="none"/>
                <w:u w:val="none"/>
              </w:rPr>
            </w:pPr>
            <w:r>
              <w:rPr>
                <w:rFonts w:hint="default" w:ascii="Times New Roman" w:hAnsi="Times New Roman" w:eastAsia="方正黑体_GBK" w:cs="Times New Roman"/>
                <w:b w:val="0"/>
                <w:bCs/>
                <w:snapToGrid w:val="0"/>
                <w:color w:val="auto"/>
                <w:sz w:val="24"/>
                <w:szCs w:val="24"/>
                <w:highlight w:val="none"/>
                <w:u w:val="none"/>
                <w:lang w:val="en-US" w:eastAsia="zh-CN" w:bidi="ar"/>
              </w:rPr>
              <w:t>裁量标准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68" w:hRule="atLeast"/>
          <w:jc w:val="center"/>
        </w:trPr>
        <w:tc>
          <w:tcPr>
            <w:tcW w:w="715" w:type="dxa"/>
            <w:vMerge w:val="restart"/>
            <w:tcBorders>
              <w:top w:val="single" w:color="000000" w:sz="4" w:space="0"/>
              <w:left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1</w:t>
            </w:r>
          </w:p>
        </w:tc>
        <w:tc>
          <w:tcPr>
            <w:tcW w:w="28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医疗保障经办机构通过伪造、变造、隐匿、涂改、销毁医学文书、医学证明、会计凭证、电子信息等有关资料或者虚构医药服务项目等方式，骗取医疗保障基金支出的。</w:t>
            </w:r>
          </w:p>
        </w:tc>
        <w:tc>
          <w:tcPr>
            <w:tcW w:w="12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《医疗保障基金使用监督管理条例》第三十七条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责令退回，处骗取金额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倍以下的罚款，对直接负责的主管人员和其他直接责任人员依法给予处分。</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一般</w:t>
            </w:r>
            <w:r>
              <w:rPr>
                <w:rFonts w:hint="default" w:ascii="Times New Roman" w:hAnsi="Times New Roman" w:eastAsia="方正仿宋_GBK" w:cs="Times New Roman"/>
                <w:i w:val="0"/>
                <w:iCs w:val="0"/>
                <w:snapToGrid w:val="0"/>
                <w:color w:val="auto"/>
                <w:sz w:val="20"/>
                <w:szCs w:val="18"/>
                <w:highlight w:val="none"/>
                <w:u w:val="none"/>
                <w:lang w:val="en-US" w:eastAsia="zh-CN" w:bidi="ar"/>
              </w:rPr>
              <w:t>违法</w:t>
            </w:r>
          </w:p>
        </w:tc>
        <w:tc>
          <w:tcPr>
            <w:tcW w:w="20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eastAsia" w:ascii="Times New Roman" w:hAnsi="Times New Roman" w:eastAsia="方正仿宋_GBK" w:cs="Times New Roman"/>
                <w:snapToGrid w:val="0"/>
                <w:color w:val="auto"/>
                <w:sz w:val="20"/>
                <w:szCs w:val="18"/>
                <w:highlight w:val="none"/>
                <w:u w:val="none"/>
                <w:lang w:val="en-US" w:eastAsia="zh-CN" w:bidi="ar"/>
              </w:rPr>
              <w:t>5000</w:t>
            </w:r>
            <w:r>
              <w:rPr>
                <w:rFonts w:hint="default" w:ascii="Times New Roman" w:hAnsi="Times New Roman" w:eastAsia="方正仿宋_GBK" w:cs="Times New Roman"/>
                <w:snapToGrid w:val="0"/>
                <w:color w:val="auto"/>
                <w:sz w:val="20"/>
                <w:szCs w:val="18"/>
                <w:highlight w:val="none"/>
                <w:u w:val="none"/>
                <w:lang w:val="en-US" w:eastAsia="zh-CN" w:bidi="ar"/>
              </w:rPr>
              <w:t>元以下的。</w:t>
            </w:r>
          </w:p>
        </w:tc>
        <w:tc>
          <w:tcPr>
            <w:tcW w:w="4548" w:type="dxa"/>
            <w:tcBorders>
              <w:top w:val="single" w:color="000000"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责令退回骗取基金，并处骗取金额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倍的罚款。对直接负责的主管人员和其他直接责任人员依法给予处分。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8" w:hRule="atLeast"/>
          <w:jc w:val="center"/>
        </w:trPr>
        <w:tc>
          <w:tcPr>
            <w:tcW w:w="715" w:type="dxa"/>
            <w:vMerge w:val="continue"/>
            <w:tcBorders>
              <w:left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严重</w:t>
            </w:r>
            <w:r>
              <w:rPr>
                <w:rFonts w:hint="default" w:ascii="Times New Roman" w:hAnsi="Times New Roman" w:eastAsia="方正仿宋_GBK" w:cs="Times New Roman"/>
                <w:i w:val="0"/>
                <w:iCs w:val="0"/>
                <w:snapToGrid w:val="0"/>
                <w:color w:val="auto"/>
                <w:sz w:val="20"/>
                <w:szCs w:val="18"/>
                <w:highlight w:val="none"/>
                <w:u w:val="none"/>
                <w:lang w:val="en-US" w:eastAsia="zh-CN" w:bidi="ar"/>
              </w:rPr>
              <w:t>违法</w:t>
            </w:r>
          </w:p>
        </w:tc>
        <w:tc>
          <w:tcPr>
            <w:tcW w:w="20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骗取医疗保障基金金额在</w:t>
            </w:r>
            <w:r>
              <w:rPr>
                <w:rFonts w:hint="eastAsia" w:ascii="Times New Roman" w:hAnsi="Times New Roman" w:eastAsia="方正仿宋_GBK" w:cs="Times New Roman"/>
                <w:snapToGrid w:val="0"/>
                <w:color w:val="auto"/>
                <w:sz w:val="20"/>
                <w:szCs w:val="18"/>
                <w:highlight w:val="none"/>
                <w:u w:val="none"/>
                <w:lang w:val="en-US" w:eastAsia="zh-CN" w:bidi="ar"/>
              </w:rPr>
              <w:t>5000</w:t>
            </w:r>
            <w:r>
              <w:rPr>
                <w:rFonts w:hint="default" w:ascii="Times New Roman" w:hAnsi="Times New Roman" w:eastAsia="方正仿宋_GBK" w:cs="Times New Roman"/>
                <w:snapToGrid w:val="0"/>
                <w:color w:val="auto"/>
                <w:sz w:val="20"/>
                <w:szCs w:val="18"/>
                <w:highlight w:val="none"/>
                <w:u w:val="none"/>
                <w:lang w:val="en-US" w:eastAsia="zh-CN" w:bidi="ar"/>
              </w:rPr>
              <w:t>元以上，</w:t>
            </w:r>
            <w:r>
              <w:rPr>
                <w:rFonts w:hint="default" w:ascii="Times New Roman" w:hAnsi="Times New Roman" w:eastAsia="方正黑体_GBK" w:cs="Times New Roman"/>
                <w:snapToGrid w:val="0"/>
                <w:color w:val="auto"/>
                <w:sz w:val="20"/>
                <w:szCs w:val="18"/>
                <w:highlight w:val="none"/>
                <w:u w:val="none"/>
                <w:lang w:val="en-US" w:eastAsia="zh-CN" w:bidi="ar"/>
              </w:rPr>
              <w:t>7</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责令退回骗取基金，并处骗取金额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倍的罚款。对直接负责的主管人员和其他直接责任人员依法给予处分。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15" w:type="dxa"/>
            <w:vMerge w:val="continue"/>
            <w:tcBorders>
              <w:left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eastAsia" w:ascii="Times New Roman" w:hAnsi="Times New Roman" w:eastAsia="宋体" w:cs="Times New Roman"/>
                <w:snapToGrid w:val="0"/>
                <w:color w:val="auto"/>
                <w:sz w:val="20"/>
                <w:szCs w:val="24"/>
                <w:highlight w:val="none"/>
                <w:u w:val="none"/>
                <w:lang w:val="en-US" w:eastAsia="zh-CN" w:bidi="ar"/>
              </w:rPr>
              <w:t>7</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责令退回骗取基金，并处骗取金额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倍以下的罚款。对直接负责的主管人员和其他直接责任人员依法给予处分。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7" w:hRule="atLeast"/>
          <w:jc w:val="center"/>
        </w:trPr>
        <w:tc>
          <w:tcPr>
            <w:tcW w:w="715" w:type="dxa"/>
            <w:vMerge w:val="continue"/>
            <w:tcBorders>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责令退回骗取基金，并处骗取金额</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4</w:t>
            </w:r>
            <w:r>
              <w:rPr>
                <w:rFonts w:hint="default" w:ascii="Times New Roman" w:hAnsi="Times New Roman" w:eastAsia="方正仿宋_GBK" w:cs="Times New Roman"/>
                <w:snapToGrid w:val="0"/>
                <w:color w:val="auto"/>
                <w:sz w:val="20"/>
                <w:szCs w:val="18"/>
                <w:highlight w:val="none"/>
                <w:u w:val="none"/>
                <w:lang w:val="en-US" w:eastAsia="zh-CN" w:bidi="ar"/>
              </w:rPr>
              <w:t>倍以下的罚款。对直接负责的主管人员和其他直接责任人员依法给予处分。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8"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default" w:ascii="Times New Roman" w:hAnsi="Times New Roman" w:eastAsia="方正仿宋_GBK" w:cs="Times New Roman"/>
                <w:snapToGrid w:val="0"/>
                <w:color w:val="auto"/>
                <w:sz w:val="20"/>
                <w:szCs w:val="18"/>
                <w:highlight w:val="none"/>
                <w:u w:val="none"/>
                <w:lang w:val="en-US" w:eastAsia="zh-CN" w:bidi="ar"/>
              </w:rPr>
              <w:t>万元以上的。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责令退回骗取基金，并处骗取金额</w:t>
            </w:r>
            <w:r>
              <w:rPr>
                <w:rFonts w:hint="default" w:ascii="Times New Roman" w:hAnsi="Times New Roman" w:eastAsia="方正仿宋_GBK" w:cs="Times New Roman"/>
                <w:snapToGrid w:val="0"/>
                <w:color w:val="auto"/>
                <w:sz w:val="20"/>
                <w:szCs w:val="24"/>
                <w:highlight w:val="none"/>
                <w:u w:val="none"/>
                <w:lang w:val="en-US" w:eastAsia="zh-CN" w:bidi="ar"/>
              </w:rPr>
              <w:t>4</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倍以下的罚款。对直接负责的主管人员和其他直接责任人员依法给予处分。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3" w:hRule="atLeast"/>
          <w:jc w:val="center"/>
        </w:trPr>
        <w:tc>
          <w:tcPr>
            <w:tcW w:w="715" w:type="dxa"/>
            <w:vMerge w:val="restart"/>
            <w:tcBorders>
              <w:top w:val="single" w:color="auto" w:sz="4" w:space="0"/>
              <w:left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2</w:t>
            </w:r>
          </w:p>
        </w:tc>
        <w:tc>
          <w:tcPr>
            <w:tcW w:w="2893" w:type="dxa"/>
            <w:vMerge w:val="restart"/>
            <w:tcBorders>
              <w:top w:val="single" w:color="auto" w:sz="4" w:space="0"/>
              <w:left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定点医药机构有下列情形之一的：（一）分解住院、挂床住院；（二）违反诊疗规范过度诊疗、过度检查、分解处方、超量开药、重复开药或者提供其他不必要的医药服务；（三）重复收费、超标准收费、分解项目收费；（四）串换药品、医用耗材、诊疗项目和服务设施；（五）为参保人员利用其享受医疗保障待遇的机会转卖药品，接受返还现金、实物或者获得其他非法利益提供便利；（六）将不属于医疗保障基金支付范围的医药费用纳入医疗保障基金结算；（七）造成医疗保障基金损失的其他违法行为。</w:t>
            </w:r>
          </w:p>
        </w:tc>
        <w:tc>
          <w:tcPr>
            <w:tcW w:w="1256" w:type="dxa"/>
            <w:vMerge w:val="restart"/>
            <w:tcBorders>
              <w:top w:val="single" w:color="auto" w:sz="4" w:space="0"/>
              <w:left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《医疗保障基金使用监督管理条例》第三十八条</w:t>
            </w:r>
          </w:p>
        </w:tc>
        <w:tc>
          <w:tcPr>
            <w:tcW w:w="1793" w:type="dxa"/>
            <w:vMerge w:val="restart"/>
            <w:tcBorders>
              <w:top w:val="single" w:color="auto" w:sz="4" w:space="0"/>
              <w:left w:val="single" w:color="000000"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责令改正，并可以约谈有关负责人；造成医疗保障基金损失的，责令退回，处造成损失金额</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倍以下的罚款，拒不改正或者造成严重后果的，责令定点医药机构暂停相关责任部门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年以下涉及医疗保障基金使用的医药服务。</w:t>
            </w: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轻微违法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snapToGrid w:val="0"/>
                <w:color w:val="auto"/>
                <w:sz w:val="20"/>
                <w:szCs w:val="32"/>
                <w:highlight w:val="none"/>
                <w:lang w:val="en-US" w:eastAsia="zh-CN" w:bidi="ar"/>
              </w:rPr>
            </w:pPr>
            <w:r>
              <w:rPr>
                <w:rFonts w:hint="default" w:ascii="Times New Roman" w:hAnsi="Times New Roman" w:eastAsia="方正仿宋_GBK" w:cs="Times New Roman"/>
                <w:snapToGrid w:val="0"/>
                <w:color w:val="auto"/>
                <w:sz w:val="20"/>
                <w:szCs w:val="18"/>
                <w:highlight w:val="none"/>
                <w:u w:val="none"/>
                <w:lang w:val="en-US" w:eastAsia="zh-CN" w:bidi="ar"/>
              </w:rPr>
              <w:t>造成</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基金损失在</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eastAsia" w:ascii="Times New Roman" w:hAnsi="Times New Roman" w:eastAsia="方正仿宋_GBK" w:cs="Times New Roman"/>
                <w:snapToGrid w:val="0"/>
                <w:color w:val="auto"/>
                <w:sz w:val="20"/>
                <w:szCs w:val="18"/>
                <w:highlight w:val="none"/>
                <w:u w:val="none"/>
                <w:lang w:val="en-US" w:eastAsia="zh-CN" w:bidi="ar"/>
              </w:rPr>
              <w:t>00</w:t>
            </w:r>
            <w:r>
              <w:rPr>
                <w:rFonts w:hint="default" w:ascii="Times New Roman" w:hAnsi="Times New Roman" w:eastAsia="方正仿宋_GBK" w:cs="Times New Roman"/>
                <w:snapToGrid w:val="0"/>
                <w:color w:val="auto"/>
                <w:sz w:val="20"/>
                <w:szCs w:val="18"/>
                <w:highlight w:val="none"/>
                <w:u w:val="none"/>
                <w:lang w:val="en-US" w:eastAsia="zh-CN" w:bidi="ar"/>
              </w:rPr>
              <w:t>元以下</w:t>
            </w:r>
            <w:r>
              <w:rPr>
                <w:rFonts w:hint="eastAsia" w:ascii="Times New Roman" w:hAnsi="Times New Roman" w:eastAsia="方正黑体_GBK" w:cs="Times New Roman"/>
                <w:snapToGrid w:val="0"/>
                <w:color w:val="auto"/>
                <w:sz w:val="20"/>
                <w:szCs w:val="18"/>
                <w:highlight w:val="none"/>
                <w:u w:val="none"/>
                <w:lang w:val="en-US" w:eastAsia="zh-CN" w:bidi="ar"/>
              </w:rPr>
              <w:t>，</w:t>
            </w:r>
            <w:r>
              <w:rPr>
                <w:rFonts w:hint="eastAsia" w:ascii="Times New Roman" w:hAnsi="Times New Roman" w:eastAsia="方正仿宋_GBK" w:cs="Times New Roman"/>
                <w:snapToGrid w:val="0"/>
                <w:color w:val="auto"/>
                <w:sz w:val="20"/>
                <w:szCs w:val="18"/>
                <w:highlight w:val="none"/>
                <w:u w:val="none"/>
                <w:lang w:val="en-US" w:eastAsia="zh-CN" w:bidi="ar"/>
              </w:rPr>
              <w:t>或损失金额占比不超过检查时间段医疗</w:t>
            </w:r>
            <w:r>
              <w:rPr>
                <w:rFonts w:hint="default" w:ascii="Times New Roman" w:hAnsi="Times New Roman" w:eastAsia="方正仿宋_GBK" w:cs="Times New Roman"/>
                <w:snapToGrid w:val="0"/>
                <w:color w:val="auto"/>
                <w:sz w:val="20"/>
                <w:szCs w:val="18"/>
                <w:highlight w:val="none"/>
                <w:u w:val="none"/>
                <w:lang w:val="en-US" w:eastAsia="zh-CN" w:bidi="ar"/>
              </w:rPr>
              <w:t>保障基金已支付金额0.01%的。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400" w:firstLineChars="200"/>
              <w:jc w:val="left"/>
              <w:textAlignment w:val="center"/>
              <w:rPr>
                <w:rFonts w:hint="default" w:ascii="Times New Roman" w:hAnsi="Times New Roman" w:eastAsia="方正仿宋_GBK" w:cs="Times New Roman"/>
                <w:snapToGrid w:val="0"/>
                <w:color w:val="auto"/>
                <w:sz w:val="20"/>
                <w:szCs w:val="32"/>
                <w:highlight w:val="none"/>
                <w:lang w:val="en-US" w:eastAsia="zh-CN" w:bidi="ar"/>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责令改正，并可以约谈有关负责人；造成医疗保障基金损失的，责令退回，处造成损失金额</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倍罚款；拒不改正或者造成严重后果的，责令定点医药机构暂停相关责任部门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个月涉及医疗保障基金使用的医药服务。</w:t>
            </w:r>
            <w:r>
              <w:rPr>
                <w:rFonts w:hint="default" w:ascii="Times New Roman" w:hAnsi="Times New Roman" w:eastAsia="方正仿宋_GBK" w:cs="Times New Roman"/>
                <w:i w:val="0"/>
                <w:iCs w:val="0"/>
                <w:snapToGrid w:val="0"/>
                <w:color w:val="auto"/>
                <w:sz w:val="20"/>
                <w:szCs w:val="18"/>
                <w:highlight w:val="none"/>
                <w:u w:val="none"/>
                <w:lang w:val="en-US" w:eastAsia="zh-CN" w:bidi="ar"/>
              </w:rPr>
              <w:t>符合不予处罚条件的，</w:t>
            </w:r>
            <w:r>
              <w:rPr>
                <w:rFonts w:hint="eastAsia" w:ascii="Times New Roman" w:hAnsi="Times New Roman" w:eastAsia="方正仿宋_GBK" w:cs="Times New Roman"/>
                <w:i w:val="0"/>
                <w:iCs w:val="0"/>
                <w:snapToGrid w:val="0"/>
                <w:color w:val="auto"/>
                <w:sz w:val="20"/>
                <w:szCs w:val="18"/>
                <w:highlight w:val="none"/>
                <w:u w:val="none"/>
                <w:lang w:val="en-US" w:eastAsia="zh-CN" w:bidi="ar"/>
              </w:rPr>
              <w:t>从其规定</w:t>
            </w:r>
            <w:r>
              <w:rPr>
                <w:rFonts w:hint="default" w:ascii="Times New Roman" w:hAnsi="Times New Roman" w:eastAsia="方正仿宋_GBK" w:cs="Times New Roman"/>
                <w:i w:val="0"/>
                <w:iCs w:val="0"/>
                <w:snapToGrid w:val="0"/>
                <w:color w:val="auto"/>
                <w:sz w:val="20"/>
                <w:szCs w:val="18"/>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3" w:hRule="atLeast"/>
          <w:jc w:val="center"/>
        </w:trPr>
        <w:tc>
          <w:tcPr>
            <w:tcW w:w="715"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一般违法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造成</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基金损失在5000元以上50万元</w:t>
            </w:r>
            <w:r>
              <w:rPr>
                <w:rFonts w:hint="eastAsia" w:ascii="Times New Roman" w:hAnsi="Times New Roman" w:eastAsia="方正仿宋_GBK" w:cs="Times New Roman"/>
                <w:snapToGrid w:val="0"/>
                <w:color w:val="auto"/>
                <w:sz w:val="20"/>
                <w:szCs w:val="18"/>
                <w:highlight w:val="none"/>
                <w:u w:val="none"/>
                <w:lang w:val="en-US" w:eastAsia="zh-CN" w:bidi="ar"/>
              </w:rPr>
              <w:t>以下</w:t>
            </w:r>
            <w:r>
              <w:rPr>
                <w:rFonts w:hint="default" w:ascii="Times New Roman" w:hAnsi="Times New Roman" w:eastAsia="方正仿宋_GBK" w:cs="Times New Roman"/>
                <w:snapToGrid w:val="0"/>
                <w:color w:val="auto"/>
                <w:sz w:val="20"/>
                <w:szCs w:val="18"/>
                <w:highlight w:val="none"/>
                <w:u w:val="none"/>
                <w:lang w:val="en-US" w:eastAsia="zh-CN" w:bidi="ar"/>
              </w:rPr>
              <w:t>，或造成的</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基金损失占检查时间段医疗保障基金已支付金额占比在0.01%以上</w:t>
            </w:r>
            <w:r>
              <w:rPr>
                <w:rFonts w:hint="default" w:ascii="Times New Roman" w:hAnsi="Times New Roman" w:eastAsia="方正仿宋_GBK" w:cs="Times New Roman"/>
                <w:i w:val="0"/>
                <w:iCs w:val="0"/>
                <w:snapToGrid w:val="0"/>
                <w:color w:val="auto"/>
                <w:sz w:val="20"/>
                <w:szCs w:val="18"/>
                <w:highlight w:val="none"/>
                <w:u w:val="none"/>
                <w:lang w:val="en-US" w:eastAsia="zh-CN" w:bidi="ar"/>
              </w:rPr>
              <w:t>0.2%以下的</w:t>
            </w:r>
            <w:r>
              <w:rPr>
                <w:rFonts w:hint="eastAsia" w:ascii="Times New Roman" w:hAnsi="Times New Roman" w:eastAsia="方正仿宋_GBK" w:cs="Times New Roman"/>
                <w:i w:val="0"/>
                <w:iCs w:val="0"/>
                <w:snapToGrid w:val="0"/>
                <w:color w:val="auto"/>
                <w:sz w:val="20"/>
                <w:szCs w:val="18"/>
                <w:highlight w:val="none"/>
                <w:u w:val="none"/>
                <w:lang w:val="en-US" w:eastAsia="zh-CN" w:bidi="ar"/>
              </w:rPr>
              <w:t>。</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责令改正，并可以约谈有关负责人；造成医疗保障基金损失的，责令退回，处造成损失金额</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倍罚款；拒不改正或者造成严重后果的，责令定点医药机构暂停相关责任部门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5" w:type="dxa"/>
            <w:vMerge w:val="continue"/>
            <w:tcBorders>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一般违法</w:t>
            </w:r>
          </w:p>
        </w:tc>
        <w:tc>
          <w:tcPr>
            <w:tcW w:w="204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造成</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基金损失在</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100</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r>
              <w:rPr>
                <w:rFonts w:hint="default" w:ascii="Times New Roman" w:hAnsi="Times New Roman" w:eastAsia="方正仿宋_GBK" w:cs="Times New Roman"/>
                <w:i w:val="0"/>
                <w:iCs w:val="0"/>
                <w:snapToGrid w:val="0"/>
                <w:color w:val="auto"/>
                <w:sz w:val="20"/>
                <w:szCs w:val="18"/>
                <w:highlight w:val="none"/>
                <w:u w:val="none"/>
                <w:lang w:val="en-US" w:eastAsia="zh-CN" w:bidi="ar"/>
              </w:rPr>
              <w:t>或造成的</w:t>
            </w:r>
            <w:r>
              <w:rPr>
                <w:rFonts w:hint="eastAsia" w:ascii="Times New Roman" w:hAnsi="Times New Roman" w:eastAsia="方正仿宋_GBK" w:cs="Times New Roman"/>
                <w:i w:val="0"/>
                <w:iCs w:val="0"/>
                <w:snapToGrid w:val="0"/>
                <w:color w:val="auto"/>
                <w:sz w:val="20"/>
                <w:szCs w:val="18"/>
                <w:highlight w:val="none"/>
                <w:u w:val="none"/>
                <w:lang w:val="en-US" w:eastAsia="zh-CN" w:bidi="ar"/>
              </w:rPr>
              <w:t>医疗保障</w:t>
            </w:r>
            <w:r>
              <w:rPr>
                <w:rFonts w:hint="default" w:ascii="Times New Roman" w:hAnsi="Times New Roman" w:eastAsia="方正仿宋_GBK" w:cs="Times New Roman"/>
                <w:i w:val="0"/>
                <w:iCs w:val="0"/>
                <w:snapToGrid w:val="0"/>
                <w:color w:val="auto"/>
                <w:sz w:val="20"/>
                <w:szCs w:val="18"/>
                <w:highlight w:val="none"/>
                <w:u w:val="none"/>
                <w:lang w:val="en-US" w:eastAsia="zh-CN" w:bidi="ar"/>
              </w:rPr>
              <w:t>基金损失占检查时间段医疗保障基金已支付金额占比在0.</w:t>
            </w:r>
            <w:r>
              <w:rPr>
                <w:rFonts w:hint="eastAsia" w:ascii="Times New Roman" w:hAnsi="Times New Roman" w:eastAsia="方正仿宋_GBK" w:cs="Times New Roman"/>
                <w:i w:val="0"/>
                <w:iCs w:val="0"/>
                <w:snapToGrid w:val="0"/>
                <w:color w:val="auto"/>
                <w:sz w:val="20"/>
                <w:szCs w:val="18"/>
                <w:highlight w:val="none"/>
                <w:u w:val="none"/>
                <w:lang w:val="en-US" w:eastAsia="zh-CN" w:bidi="ar"/>
              </w:rPr>
              <w:t>2</w:t>
            </w:r>
            <w:r>
              <w:rPr>
                <w:rFonts w:hint="default" w:ascii="Times New Roman" w:hAnsi="Times New Roman" w:eastAsia="方正仿宋_GBK" w:cs="Times New Roman"/>
                <w:i w:val="0"/>
                <w:iCs w:val="0"/>
                <w:snapToGrid w:val="0"/>
                <w:color w:val="auto"/>
                <w:sz w:val="20"/>
                <w:szCs w:val="18"/>
                <w:highlight w:val="none"/>
                <w:u w:val="none"/>
                <w:lang w:val="en-US" w:eastAsia="zh-CN" w:bidi="ar"/>
              </w:rPr>
              <w:t>%以上0.</w:t>
            </w:r>
            <w:r>
              <w:rPr>
                <w:rFonts w:hint="eastAsia" w:ascii="Times New Roman" w:hAnsi="Times New Roman" w:eastAsia="方正仿宋_GBK" w:cs="Times New Roman"/>
                <w:i w:val="0"/>
                <w:iCs w:val="0"/>
                <w:snapToGrid w:val="0"/>
                <w:color w:val="auto"/>
                <w:sz w:val="20"/>
                <w:szCs w:val="18"/>
                <w:highlight w:val="none"/>
                <w:u w:val="none"/>
                <w:lang w:val="en-US" w:eastAsia="zh-CN" w:bidi="ar"/>
              </w:rPr>
              <w:t>4</w:t>
            </w:r>
            <w:r>
              <w:rPr>
                <w:rFonts w:hint="default" w:ascii="Times New Roman" w:hAnsi="Times New Roman" w:eastAsia="方正仿宋_GBK" w:cs="Times New Roman"/>
                <w:i w:val="0"/>
                <w:iCs w:val="0"/>
                <w:snapToGrid w:val="0"/>
                <w:color w:val="auto"/>
                <w:sz w:val="20"/>
                <w:szCs w:val="18"/>
                <w:highlight w:val="none"/>
                <w:u w:val="none"/>
                <w:lang w:val="en-US" w:eastAsia="zh-CN" w:bidi="ar"/>
              </w:rPr>
              <w:t>%以下的。</w:t>
            </w:r>
          </w:p>
        </w:tc>
        <w:tc>
          <w:tcPr>
            <w:tcW w:w="4548" w:type="dxa"/>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责令改正，并可以约谈有关负责人；造成医疗保障基金损失的，责令退回，处造成损失金额</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1.3</w:t>
            </w:r>
            <w:r>
              <w:rPr>
                <w:rFonts w:hint="default" w:ascii="Times New Roman" w:hAnsi="Times New Roman" w:eastAsia="方正仿宋_GBK" w:cs="Times New Roman"/>
                <w:snapToGrid w:val="0"/>
                <w:color w:val="auto"/>
                <w:sz w:val="20"/>
                <w:szCs w:val="18"/>
                <w:highlight w:val="none"/>
                <w:u w:val="none"/>
                <w:lang w:val="en-US" w:eastAsia="zh-CN" w:bidi="ar"/>
              </w:rPr>
              <w:t>倍以下的罚款；拒不改正或者造成严重后果的，责令定点医药机构暂停相关责任部门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8</w:t>
            </w:r>
            <w:r>
              <w:rPr>
                <w:rFonts w:hint="default" w:ascii="Times New Roman" w:hAnsi="Times New Roman" w:eastAsia="方正仿宋_GBK" w:cs="Times New Roman"/>
                <w:snapToGrid w:val="0"/>
                <w:color w:val="auto"/>
                <w:sz w:val="20"/>
                <w:szCs w:val="18"/>
                <w:highlight w:val="none"/>
                <w:u w:val="none"/>
                <w:lang w:val="en-US" w:eastAsia="zh-CN" w:bidi="ar"/>
              </w:rPr>
              <w:t>个月以下涉及医疗保障基金使用的医药服务。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9"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严重</w:t>
            </w:r>
            <w:r>
              <w:rPr>
                <w:rFonts w:hint="default" w:ascii="Times New Roman" w:hAnsi="Times New Roman" w:eastAsia="方正仿宋_GBK" w:cs="Times New Roman"/>
                <w:i w:val="0"/>
                <w:iCs w:val="0"/>
                <w:snapToGrid w:val="0"/>
                <w:color w:val="auto"/>
                <w:sz w:val="20"/>
                <w:szCs w:val="18"/>
                <w:highlight w:val="none"/>
                <w:u w:val="none"/>
                <w:lang w:val="en-US" w:eastAsia="zh-CN" w:bidi="ar"/>
              </w:rPr>
              <w:t>违法</w:t>
            </w:r>
          </w:p>
        </w:tc>
        <w:tc>
          <w:tcPr>
            <w:tcW w:w="2048"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lang w:val="en-US"/>
              </w:rPr>
            </w:pPr>
            <w:r>
              <w:rPr>
                <w:rFonts w:hint="default" w:ascii="Times New Roman" w:hAnsi="Times New Roman" w:eastAsia="方正仿宋_GBK" w:cs="Times New Roman"/>
                <w:snapToGrid w:val="0"/>
                <w:color w:val="auto"/>
                <w:sz w:val="20"/>
                <w:szCs w:val="18"/>
                <w:highlight w:val="none"/>
                <w:u w:val="none"/>
                <w:lang w:val="en-US" w:eastAsia="zh-CN" w:bidi="ar"/>
              </w:rPr>
              <w:t>造成</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基金损失在</w:t>
            </w:r>
            <w:r>
              <w:rPr>
                <w:rFonts w:hint="default" w:ascii="Times New Roman" w:hAnsi="Times New Roman" w:eastAsia="方正仿宋_GBK" w:cs="Times New Roman"/>
                <w:snapToGrid w:val="0"/>
                <w:color w:val="auto"/>
                <w:sz w:val="20"/>
                <w:szCs w:val="24"/>
                <w:highlight w:val="none"/>
                <w:u w:val="none"/>
                <w:lang w:val="en-US" w:eastAsia="zh-CN" w:bidi="ar"/>
              </w:rPr>
              <w:t>100</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200</w:t>
            </w:r>
            <w:r>
              <w:rPr>
                <w:rFonts w:hint="default" w:ascii="Times New Roman" w:hAnsi="Times New Roman" w:eastAsia="方正仿宋_GBK" w:cs="Times New Roman"/>
                <w:snapToGrid w:val="0"/>
                <w:color w:val="auto"/>
                <w:sz w:val="20"/>
                <w:szCs w:val="18"/>
                <w:highlight w:val="none"/>
                <w:u w:val="none"/>
                <w:lang w:val="en-US" w:eastAsia="zh-CN" w:bidi="ar"/>
              </w:rPr>
              <w:t>万元以下，</w:t>
            </w:r>
            <w:r>
              <w:rPr>
                <w:rFonts w:hint="default" w:ascii="Times New Roman" w:hAnsi="Times New Roman" w:eastAsia="方正仿宋_GBK" w:cs="Times New Roman"/>
                <w:i w:val="0"/>
                <w:iCs w:val="0"/>
                <w:snapToGrid w:val="0"/>
                <w:color w:val="auto"/>
                <w:sz w:val="20"/>
                <w:szCs w:val="18"/>
                <w:highlight w:val="none"/>
                <w:u w:val="none"/>
                <w:lang w:val="en-US" w:eastAsia="zh-CN" w:bidi="ar"/>
              </w:rPr>
              <w:t>或造成的</w:t>
            </w:r>
            <w:r>
              <w:rPr>
                <w:rFonts w:hint="eastAsia" w:ascii="Times New Roman" w:hAnsi="Times New Roman" w:eastAsia="方正仿宋_GBK" w:cs="Times New Roman"/>
                <w:i w:val="0"/>
                <w:iCs w:val="0"/>
                <w:snapToGrid w:val="0"/>
                <w:color w:val="auto"/>
                <w:sz w:val="20"/>
                <w:szCs w:val="18"/>
                <w:highlight w:val="none"/>
                <w:u w:val="none"/>
                <w:lang w:val="en-US" w:eastAsia="zh-CN" w:bidi="ar"/>
              </w:rPr>
              <w:t>医疗保障</w:t>
            </w:r>
            <w:r>
              <w:rPr>
                <w:rFonts w:hint="default" w:ascii="Times New Roman" w:hAnsi="Times New Roman" w:eastAsia="方正仿宋_GBK" w:cs="Times New Roman"/>
                <w:i w:val="0"/>
                <w:iCs w:val="0"/>
                <w:snapToGrid w:val="0"/>
                <w:color w:val="auto"/>
                <w:sz w:val="20"/>
                <w:szCs w:val="18"/>
                <w:highlight w:val="none"/>
                <w:u w:val="none"/>
                <w:lang w:val="en-US" w:eastAsia="zh-CN" w:bidi="ar"/>
              </w:rPr>
              <w:t>基金损失占检查时间段医疗保障基金已支付金额占比在0.</w:t>
            </w:r>
            <w:r>
              <w:rPr>
                <w:rFonts w:hint="eastAsia" w:ascii="Times New Roman" w:hAnsi="Times New Roman" w:eastAsia="方正仿宋_GBK" w:cs="Times New Roman"/>
                <w:i w:val="0"/>
                <w:iCs w:val="0"/>
                <w:snapToGrid w:val="0"/>
                <w:color w:val="auto"/>
                <w:sz w:val="20"/>
                <w:szCs w:val="18"/>
                <w:highlight w:val="none"/>
                <w:u w:val="none"/>
                <w:lang w:val="en-US" w:eastAsia="zh-CN" w:bidi="ar"/>
              </w:rPr>
              <w:t>4</w:t>
            </w:r>
            <w:r>
              <w:rPr>
                <w:rFonts w:hint="default" w:ascii="Times New Roman" w:hAnsi="Times New Roman" w:eastAsia="方正仿宋_GBK" w:cs="Times New Roman"/>
                <w:i w:val="0"/>
                <w:iCs w:val="0"/>
                <w:snapToGrid w:val="0"/>
                <w:color w:val="auto"/>
                <w:sz w:val="20"/>
                <w:szCs w:val="18"/>
                <w:highlight w:val="none"/>
                <w:u w:val="none"/>
                <w:lang w:val="en-US" w:eastAsia="zh-CN" w:bidi="ar"/>
              </w:rPr>
              <w:t>%以上0.</w:t>
            </w:r>
            <w:r>
              <w:rPr>
                <w:rFonts w:hint="eastAsia" w:ascii="Times New Roman" w:hAnsi="Times New Roman" w:eastAsia="方正仿宋_GBK" w:cs="Times New Roman"/>
                <w:i w:val="0"/>
                <w:iCs w:val="0"/>
                <w:snapToGrid w:val="0"/>
                <w:color w:val="auto"/>
                <w:sz w:val="20"/>
                <w:szCs w:val="18"/>
                <w:highlight w:val="none"/>
                <w:u w:val="none"/>
                <w:lang w:val="en-US" w:eastAsia="zh-CN" w:bidi="ar"/>
              </w:rPr>
              <w:t>8</w:t>
            </w:r>
            <w:r>
              <w:rPr>
                <w:rFonts w:hint="default" w:ascii="Times New Roman" w:hAnsi="Times New Roman" w:eastAsia="方正仿宋_GBK" w:cs="Times New Roman"/>
                <w:i w:val="0"/>
                <w:iCs w:val="0"/>
                <w:snapToGrid w:val="0"/>
                <w:color w:val="auto"/>
                <w:sz w:val="20"/>
                <w:szCs w:val="18"/>
                <w:highlight w:val="none"/>
                <w:u w:val="none"/>
                <w:lang w:val="en-US" w:eastAsia="zh-CN" w:bidi="ar"/>
              </w:rPr>
              <w:t>%以下</w:t>
            </w:r>
            <w:r>
              <w:rPr>
                <w:rFonts w:hint="eastAsia" w:ascii="Times New Roman" w:hAnsi="Times New Roman" w:eastAsia="方正仿宋_GBK" w:cs="Times New Roman"/>
                <w:i w:val="0"/>
                <w:iCs w:val="0"/>
                <w:snapToGrid w:val="0"/>
                <w:color w:val="auto"/>
                <w:sz w:val="20"/>
                <w:szCs w:val="18"/>
                <w:highlight w:val="none"/>
                <w:u w:val="none"/>
                <w:lang w:val="en-US" w:eastAsia="zh-CN" w:bidi="ar"/>
              </w:rPr>
              <w:t>的。</w:t>
            </w:r>
          </w:p>
        </w:tc>
        <w:tc>
          <w:tcPr>
            <w:tcW w:w="4548"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责令改正，并可以约谈有关负责人；造成医疗保障基金损失的，责令退回，处造成损失金额</w:t>
            </w:r>
            <w:r>
              <w:rPr>
                <w:rFonts w:hint="default" w:ascii="Times New Roman" w:hAnsi="Times New Roman" w:eastAsia="方正仿宋_GBK" w:cs="Times New Roman"/>
                <w:snapToGrid w:val="0"/>
                <w:color w:val="auto"/>
                <w:sz w:val="20"/>
                <w:szCs w:val="24"/>
                <w:highlight w:val="none"/>
                <w:u w:val="none"/>
                <w:lang w:val="en-US" w:eastAsia="zh-CN" w:bidi="ar"/>
              </w:rPr>
              <w:t>1.3</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1.7</w:t>
            </w:r>
            <w:r>
              <w:rPr>
                <w:rFonts w:hint="default" w:ascii="Times New Roman" w:hAnsi="Times New Roman" w:eastAsia="方正仿宋_GBK" w:cs="Times New Roman"/>
                <w:snapToGrid w:val="0"/>
                <w:color w:val="auto"/>
                <w:sz w:val="20"/>
                <w:szCs w:val="18"/>
                <w:highlight w:val="none"/>
                <w:u w:val="none"/>
                <w:lang w:val="en-US" w:eastAsia="zh-CN" w:bidi="ar"/>
              </w:rPr>
              <w:t>倍以下的罚款；拒不改正或者造成严重后果的，责令定点医药机构暂停相关责任部门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8</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个月以下涉及医疗保障基金使用的医药服务。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0"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4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200" w:firstLineChars="1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造成</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w:t>
            </w:r>
            <w:r>
              <w:rPr>
                <w:rFonts w:hint="eastAsia" w:ascii="Times New Roman" w:hAnsi="Times New Roman" w:eastAsia="方正仿宋_GBK" w:cs="Times New Roman"/>
                <w:snapToGrid w:val="0"/>
                <w:color w:val="auto"/>
                <w:sz w:val="20"/>
                <w:szCs w:val="18"/>
                <w:highlight w:val="none"/>
                <w:u w:val="none"/>
                <w:lang w:val="en-US" w:eastAsia="zh-CN" w:bidi="ar"/>
              </w:rPr>
              <w:t>损失</w:t>
            </w:r>
            <w:r>
              <w:rPr>
                <w:rFonts w:hint="default" w:ascii="Times New Roman" w:hAnsi="Times New Roman" w:eastAsia="方正仿宋_GBK" w:cs="Times New Roman"/>
                <w:snapToGrid w:val="0"/>
                <w:color w:val="auto"/>
                <w:sz w:val="20"/>
                <w:szCs w:val="18"/>
                <w:highlight w:val="none"/>
                <w:u w:val="none"/>
                <w:lang w:val="en-US" w:eastAsia="zh-CN" w:bidi="ar"/>
              </w:rPr>
              <w:t>在</w:t>
            </w:r>
            <w:r>
              <w:rPr>
                <w:rFonts w:hint="default" w:ascii="Times New Roman" w:hAnsi="Times New Roman" w:eastAsia="方正仿宋_GBK" w:cs="Times New Roman"/>
                <w:snapToGrid w:val="0"/>
                <w:color w:val="auto"/>
                <w:sz w:val="20"/>
                <w:szCs w:val="24"/>
                <w:highlight w:val="none"/>
                <w:u w:val="none"/>
                <w:lang w:val="en-US" w:eastAsia="zh-CN" w:bidi="ar"/>
              </w:rPr>
              <w:t>200</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i w:val="0"/>
                <w:iCs w:val="0"/>
                <w:snapToGrid w:val="0"/>
                <w:color w:val="auto"/>
                <w:sz w:val="20"/>
                <w:szCs w:val="18"/>
                <w:highlight w:val="none"/>
                <w:u w:val="none"/>
                <w:lang w:val="en-US" w:eastAsia="zh-CN" w:bidi="ar"/>
              </w:rPr>
              <w:t>或造成的</w:t>
            </w:r>
            <w:r>
              <w:rPr>
                <w:rFonts w:hint="eastAsia" w:ascii="Times New Roman" w:hAnsi="Times New Roman" w:eastAsia="方正仿宋_GBK" w:cs="Times New Roman"/>
                <w:i w:val="0"/>
                <w:iCs w:val="0"/>
                <w:snapToGrid w:val="0"/>
                <w:color w:val="auto"/>
                <w:sz w:val="20"/>
                <w:szCs w:val="18"/>
                <w:highlight w:val="none"/>
                <w:u w:val="none"/>
                <w:lang w:val="en-US" w:eastAsia="zh-CN" w:bidi="ar"/>
              </w:rPr>
              <w:t>医疗保障</w:t>
            </w:r>
            <w:r>
              <w:rPr>
                <w:rFonts w:hint="default" w:ascii="Times New Roman" w:hAnsi="Times New Roman" w:eastAsia="方正仿宋_GBK" w:cs="Times New Roman"/>
                <w:i w:val="0"/>
                <w:iCs w:val="0"/>
                <w:snapToGrid w:val="0"/>
                <w:color w:val="auto"/>
                <w:sz w:val="20"/>
                <w:szCs w:val="18"/>
                <w:highlight w:val="none"/>
                <w:u w:val="none"/>
                <w:lang w:val="en-US" w:eastAsia="zh-CN" w:bidi="ar"/>
              </w:rPr>
              <w:t>基金损失占检查时间段医疗保障基金已支付金额占比在0.</w:t>
            </w:r>
            <w:r>
              <w:rPr>
                <w:rFonts w:hint="eastAsia" w:ascii="Times New Roman" w:hAnsi="Times New Roman" w:eastAsia="方正仿宋_GBK" w:cs="Times New Roman"/>
                <w:i w:val="0"/>
                <w:iCs w:val="0"/>
                <w:snapToGrid w:val="0"/>
                <w:color w:val="auto"/>
                <w:sz w:val="20"/>
                <w:szCs w:val="18"/>
                <w:highlight w:val="none"/>
                <w:u w:val="none"/>
                <w:lang w:val="en-US" w:eastAsia="zh-CN" w:bidi="ar"/>
              </w:rPr>
              <w:t>8</w:t>
            </w:r>
            <w:r>
              <w:rPr>
                <w:rFonts w:hint="default" w:ascii="Times New Roman" w:hAnsi="Times New Roman" w:eastAsia="方正仿宋_GBK" w:cs="Times New Roman"/>
                <w:i w:val="0"/>
                <w:iCs w:val="0"/>
                <w:snapToGrid w:val="0"/>
                <w:color w:val="auto"/>
                <w:sz w:val="20"/>
                <w:szCs w:val="18"/>
                <w:highlight w:val="none"/>
                <w:u w:val="none"/>
                <w:lang w:val="en-US" w:eastAsia="zh-CN" w:bidi="ar"/>
              </w:rPr>
              <w:t>%以上的。</w:t>
            </w:r>
          </w:p>
        </w:tc>
        <w:tc>
          <w:tcPr>
            <w:tcW w:w="45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责令改正，并可以约谈有关负责人；造成医疗保障基金损失的，责令退回，处造成损失金额</w:t>
            </w:r>
            <w:r>
              <w:rPr>
                <w:rFonts w:hint="default" w:ascii="Times New Roman" w:hAnsi="Times New Roman" w:eastAsia="方正仿宋_GBK" w:cs="Times New Roman"/>
                <w:snapToGrid w:val="0"/>
                <w:color w:val="auto"/>
                <w:sz w:val="20"/>
                <w:szCs w:val="24"/>
                <w:highlight w:val="none"/>
                <w:u w:val="none"/>
                <w:lang w:val="en-US" w:eastAsia="zh-CN" w:bidi="ar"/>
              </w:rPr>
              <w:t>1.7</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倍以下的罚款；拒不改正或者造成严重后果的，责令定点医药机构暂停相关责任部门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12</w:t>
            </w:r>
            <w:r>
              <w:rPr>
                <w:rFonts w:hint="default" w:ascii="Times New Roman" w:hAnsi="Times New Roman" w:eastAsia="方正仿宋_GBK" w:cs="Times New Roman"/>
                <w:snapToGrid w:val="0"/>
                <w:color w:val="auto"/>
                <w:sz w:val="20"/>
                <w:szCs w:val="18"/>
                <w:highlight w:val="none"/>
                <w:u w:val="none"/>
                <w:lang w:val="en-US" w:eastAsia="zh-CN" w:bidi="ar"/>
              </w:rPr>
              <w:t>个月以下涉及医疗保障基金使用的医药服务。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6" w:hRule="atLeast"/>
          <w:jc w:val="center"/>
        </w:trPr>
        <w:tc>
          <w:tcPr>
            <w:tcW w:w="715" w:type="dxa"/>
            <w:vMerge w:val="restart"/>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3</w:t>
            </w:r>
          </w:p>
        </w:tc>
        <w:tc>
          <w:tcPr>
            <w:tcW w:w="2893"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定点医药机构有下列情形之一的：（一）未建立医疗保障基金使用内部管理制度，或者没有专门机构或者人员负责医疗保障基金使用管理工作；（二）未按照规定保管财务账目、会计凭证、处方、病历、治疗检查记录、费用明细、药品和医用耗材出入库记录等资料；（三）未按照规定通过医疗保障信息系统传送医疗保障基金使用有关数据；（四）未按照规定向医疗保障行政部门报告医疗保障基金使用监督管理所需信息；（五）未按照规定向社会公开医药费用、费用结构等信息；（六）除急诊、抢救等特殊情形外，未经参保人员或者其近亲属、监护人同意提供医疗保障基金支付范围以外的医药服务；（七）拒绝医疗保障等行政部门监督检查或者提供虚假情况。</w:t>
            </w:r>
          </w:p>
        </w:tc>
        <w:tc>
          <w:tcPr>
            <w:tcW w:w="12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《医疗保障基金使用监督管理条例》第三十九条</w:t>
            </w:r>
          </w:p>
        </w:tc>
        <w:tc>
          <w:tcPr>
            <w:tcW w:w="1793"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责令改正，并可以约谈有关负责人；拒不改正的，处</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万元以下的罚款。</w:t>
            </w:r>
          </w:p>
        </w:tc>
        <w:tc>
          <w:tcPr>
            <w:tcW w:w="1283"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一般违法</w:t>
            </w:r>
          </w:p>
        </w:tc>
        <w:tc>
          <w:tcPr>
            <w:tcW w:w="2048"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违反第三十九</w:t>
            </w:r>
            <w:r>
              <w:rPr>
                <w:rFonts w:hint="eastAsia" w:ascii="Times New Roman" w:hAnsi="Times New Roman" w:eastAsia="方正仿宋_GBK" w:cs="Times New Roman"/>
                <w:snapToGrid w:val="0"/>
                <w:color w:val="auto"/>
                <w:sz w:val="20"/>
                <w:szCs w:val="18"/>
                <w:highlight w:val="none"/>
                <w:u w:val="none"/>
                <w:lang w:val="en-US" w:eastAsia="zh-CN" w:bidi="ar"/>
              </w:rPr>
              <w:t>条第</w:t>
            </w:r>
            <w:r>
              <w:rPr>
                <w:rFonts w:hint="default" w:ascii="Times New Roman" w:hAnsi="Times New Roman" w:eastAsia="方正仿宋_GBK" w:cs="Times New Roman"/>
                <w:snapToGrid w:val="0"/>
                <w:color w:val="auto"/>
                <w:sz w:val="20"/>
                <w:szCs w:val="24"/>
                <w:highlight w:val="none"/>
                <w:u w:val="none"/>
                <w:lang w:val="en-US" w:eastAsia="zh-CN" w:bidi="ar"/>
              </w:rPr>
              <w:t>1-6</w:t>
            </w:r>
            <w:r>
              <w:rPr>
                <w:rFonts w:hint="default" w:ascii="Times New Roman" w:hAnsi="Times New Roman" w:eastAsia="方正仿宋_GBK" w:cs="Times New Roman"/>
                <w:snapToGrid w:val="0"/>
                <w:color w:val="auto"/>
                <w:sz w:val="20"/>
                <w:szCs w:val="18"/>
                <w:highlight w:val="none"/>
                <w:u w:val="none"/>
                <w:lang w:val="en-US" w:eastAsia="zh-CN" w:bidi="ar"/>
              </w:rPr>
              <w:t>款</w:t>
            </w:r>
            <w:r>
              <w:rPr>
                <w:rFonts w:hint="eastAsia" w:ascii="Times New Roman" w:hAnsi="Times New Roman" w:eastAsia="方正仿宋_GBK" w:cs="Times New Roman"/>
                <w:snapToGrid w:val="0"/>
                <w:color w:val="auto"/>
                <w:sz w:val="20"/>
                <w:szCs w:val="18"/>
                <w:highlight w:val="none"/>
                <w:u w:val="none"/>
                <w:lang w:val="en-US" w:eastAsia="zh-CN" w:bidi="ar"/>
              </w:rPr>
              <w:t>中任1款</w:t>
            </w:r>
            <w:r>
              <w:rPr>
                <w:rFonts w:hint="default" w:ascii="Times New Roman" w:hAnsi="Times New Roman" w:eastAsia="方正仿宋_GBK" w:cs="Times New Roman"/>
                <w:snapToGrid w:val="0"/>
                <w:color w:val="auto"/>
                <w:sz w:val="20"/>
                <w:szCs w:val="18"/>
                <w:highlight w:val="none"/>
                <w:u w:val="none"/>
                <w:lang w:val="en-US" w:eastAsia="zh-CN" w:bidi="ar"/>
              </w:rPr>
              <w:t>的。</w:t>
            </w:r>
          </w:p>
        </w:tc>
        <w:tc>
          <w:tcPr>
            <w:tcW w:w="4548" w:type="dxa"/>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责令改正，并可以约谈有关负责人；拒不改正的，处</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万元的罚款。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7"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center"/>
              <w:rPr>
                <w:rFonts w:hint="default" w:ascii="Times New Roman" w:hAnsi="Times New Roman" w:eastAsia="仿宋_GB2312" w:cs="Times New Roman"/>
                <w:snapToGrid w:val="0"/>
                <w:color w:val="auto"/>
                <w:kern w:val="2"/>
                <w:sz w:val="32"/>
                <w:szCs w:val="32"/>
                <w:highlight w:val="none"/>
                <w:lang w:val="en-US" w:eastAsia="zh-CN" w:bidi="ar"/>
              </w:rPr>
            </w:pPr>
          </w:p>
        </w:tc>
        <w:tc>
          <w:tcPr>
            <w:tcW w:w="204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违反第三十九条</w:t>
            </w:r>
            <w:r>
              <w:rPr>
                <w:rFonts w:hint="eastAsia" w:ascii="Times New Roman" w:hAnsi="Times New Roman" w:eastAsia="方正仿宋_GBK" w:cs="Times New Roman"/>
                <w:snapToGrid w:val="0"/>
                <w:color w:val="auto"/>
                <w:sz w:val="20"/>
                <w:szCs w:val="18"/>
                <w:highlight w:val="none"/>
                <w:u w:val="none"/>
                <w:lang w:val="en-US" w:eastAsia="zh-CN" w:bidi="ar"/>
              </w:rPr>
              <w:t>第1</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款中</w:t>
            </w:r>
            <w:r>
              <w:rPr>
                <w:rFonts w:hint="eastAsia" w:ascii="Times New Roman" w:hAnsi="Times New Roman" w:eastAsia="方正仿宋_GBK" w:cs="Times New Roman"/>
                <w:snapToGrid w:val="0"/>
                <w:color w:val="auto"/>
                <w:sz w:val="20"/>
                <w:szCs w:val="18"/>
                <w:highlight w:val="none"/>
                <w:u w:val="none"/>
                <w:lang w:val="en-US" w:eastAsia="zh-CN" w:bidi="ar"/>
              </w:rPr>
              <w:t>任</w:t>
            </w:r>
            <w:r>
              <w:rPr>
                <w:rFonts w:hint="default" w:ascii="Times New Roman" w:hAnsi="Times New Roman" w:eastAsia="方正仿宋_GBK" w:cs="Times New Roman"/>
                <w:snapToGrid w:val="0"/>
                <w:color w:val="auto"/>
                <w:sz w:val="20"/>
                <w:szCs w:val="24"/>
                <w:highlight w:val="none"/>
                <w:u w:val="none"/>
                <w:lang w:val="en-US" w:eastAsia="zh-CN" w:bidi="ar"/>
              </w:rPr>
              <w:t>2-3</w:t>
            </w:r>
            <w:r>
              <w:rPr>
                <w:rFonts w:hint="default" w:ascii="Times New Roman" w:hAnsi="Times New Roman" w:eastAsia="方正仿宋_GBK" w:cs="Times New Roman"/>
                <w:snapToGrid w:val="0"/>
                <w:color w:val="auto"/>
                <w:sz w:val="20"/>
                <w:szCs w:val="18"/>
                <w:highlight w:val="none"/>
                <w:u w:val="none"/>
                <w:lang w:val="en-US" w:eastAsia="zh-CN" w:bidi="ar"/>
              </w:rPr>
              <w:t>款的。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责令改正，并可以约谈有关负责人；拒不改正的，处</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万元的罚款。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8"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center"/>
              <w:rPr>
                <w:rFonts w:hint="default" w:ascii="Times New Roman" w:hAnsi="Times New Roman" w:eastAsia="仿宋_GB2312" w:cs="Times New Roman"/>
                <w:snapToGrid w:val="0"/>
                <w:color w:val="auto"/>
                <w:kern w:val="2"/>
                <w:sz w:val="32"/>
                <w:szCs w:val="32"/>
                <w:highlight w:val="none"/>
                <w:lang w:val="en-US" w:eastAsia="zh-CN" w:bidi="ar"/>
              </w:rPr>
            </w:pPr>
          </w:p>
        </w:tc>
        <w:tc>
          <w:tcPr>
            <w:tcW w:w="204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违反第三十九条</w:t>
            </w:r>
            <w:r>
              <w:rPr>
                <w:rFonts w:hint="eastAsia" w:ascii="Times New Roman" w:hAnsi="Times New Roman" w:eastAsia="方正仿宋_GBK" w:cs="Times New Roman"/>
                <w:snapToGrid w:val="0"/>
                <w:color w:val="auto"/>
                <w:sz w:val="20"/>
                <w:szCs w:val="18"/>
                <w:highlight w:val="none"/>
                <w:u w:val="none"/>
                <w:lang w:val="en-US" w:eastAsia="zh-CN" w:bidi="ar"/>
              </w:rPr>
              <w:t>第1</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款中</w:t>
            </w:r>
            <w:r>
              <w:rPr>
                <w:rFonts w:hint="eastAsia" w:ascii="Times New Roman" w:hAnsi="Times New Roman" w:eastAsia="方正仿宋_GBK" w:cs="Times New Roman"/>
                <w:snapToGrid w:val="0"/>
                <w:color w:val="auto"/>
                <w:sz w:val="20"/>
                <w:szCs w:val="24"/>
                <w:highlight w:val="none"/>
                <w:u w:val="none"/>
                <w:lang w:val="en-US" w:eastAsia="zh-CN" w:bidi="ar"/>
              </w:rPr>
              <w:t>任4</w:t>
            </w:r>
            <w:r>
              <w:rPr>
                <w:rFonts w:hint="default" w:ascii="Times New Roman" w:hAnsi="Times New Roman" w:eastAsia="方正仿宋_GBK" w:cs="Times New Roman"/>
                <w:snapToGrid w:val="0"/>
                <w:color w:val="auto"/>
                <w:sz w:val="20"/>
                <w:szCs w:val="18"/>
                <w:highlight w:val="none"/>
                <w:u w:val="none"/>
                <w:lang w:val="en-US" w:eastAsia="zh-CN" w:bidi="ar"/>
              </w:rPr>
              <w:t>款的。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责令改正，并可以约谈有关负责人；拒不改正的，处</w:t>
            </w:r>
            <w:r>
              <w:rPr>
                <w:rFonts w:hint="default" w:ascii="Times New Roman" w:hAnsi="Times New Roman" w:eastAsia="方正仿宋_GBK" w:cs="Times New Roman"/>
                <w:snapToGrid w:val="0"/>
                <w:color w:val="auto"/>
                <w:sz w:val="20"/>
                <w:szCs w:val="24"/>
                <w:highlight w:val="none"/>
                <w:u w:val="none"/>
                <w:lang w:val="en-US" w:eastAsia="zh-CN" w:bidi="ar"/>
              </w:rPr>
              <w:t>4</w:t>
            </w:r>
            <w:r>
              <w:rPr>
                <w:rFonts w:hint="default" w:ascii="Times New Roman" w:hAnsi="Times New Roman" w:eastAsia="方正仿宋_GBK" w:cs="Times New Roman"/>
                <w:snapToGrid w:val="0"/>
                <w:color w:val="auto"/>
                <w:sz w:val="20"/>
                <w:szCs w:val="18"/>
                <w:highlight w:val="none"/>
                <w:u w:val="none"/>
                <w:lang w:val="en-US" w:eastAsia="zh-CN" w:bidi="ar"/>
              </w:rPr>
              <w:t>万元的罚款。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5"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40" w:lineRule="exact"/>
              <w:ind w:left="0" w:leftChars="0" w:right="0" w:rightChars="0" w:firstLine="0" w:firstLineChars="0"/>
              <w:jc w:val="center"/>
              <w:rPr>
                <w:rFonts w:hint="default" w:ascii="Times New Roman" w:hAnsi="Times New Roman" w:eastAsia="仿宋_GB2312" w:cs="Times New Roman"/>
                <w:snapToGrid w:val="0"/>
                <w:color w:val="auto"/>
                <w:kern w:val="2"/>
                <w:sz w:val="32"/>
                <w:szCs w:val="32"/>
                <w:highlight w:val="none"/>
                <w:lang w:val="en-US" w:eastAsia="zh-CN" w:bidi="ar"/>
              </w:rPr>
            </w:pPr>
          </w:p>
        </w:tc>
        <w:tc>
          <w:tcPr>
            <w:tcW w:w="204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违反第三十九条</w:t>
            </w:r>
            <w:r>
              <w:rPr>
                <w:rFonts w:hint="eastAsia" w:ascii="Times New Roman" w:hAnsi="Times New Roman" w:eastAsia="方正仿宋_GBK" w:cs="Times New Roman"/>
                <w:snapToGrid w:val="0"/>
                <w:color w:val="auto"/>
                <w:sz w:val="20"/>
                <w:szCs w:val="18"/>
                <w:highlight w:val="none"/>
                <w:u w:val="none"/>
                <w:lang w:val="en-US" w:eastAsia="zh-CN" w:bidi="ar"/>
              </w:rPr>
              <w:t>第1</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款中</w:t>
            </w:r>
            <w:r>
              <w:rPr>
                <w:rFonts w:hint="eastAsia" w:ascii="Times New Roman" w:hAnsi="Times New Roman" w:eastAsia="方正仿宋_GBK" w:cs="Times New Roman"/>
                <w:snapToGrid w:val="0"/>
                <w:color w:val="auto"/>
                <w:sz w:val="20"/>
                <w:szCs w:val="18"/>
                <w:highlight w:val="none"/>
                <w:u w:val="none"/>
                <w:lang w:val="en-US" w:eastAsia="zh-CN" w:bidi="ar"/>
              </w:rPr>
              <w:t>任</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款及以上的</w:t>
            </w:r>
            <w:r>
              <w:rPr>
                <w:rFonts w:hint="eastAsia" w:ascii="Times New Roman" w:hAnsi="Times New Roman" w:eastAsia="方正仿宋_GBK" w:cs="Times New Roman"/>
                <w:snapToGrid w:val="0"/>
                <w:color w:val="auto"/>
                <w:sz w:val="20"/>
                <w:szCs w:val="18"/>
                <w:highlight w:val="none"/>
                <w:u w:val="none"/>
                <w:lang w:val="en-US" w:eastAsia="zh-CN" w:bidi="ar"/>
              </w:rPr>
              <w:t>。</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责令改正，并可以约谈有关负责人；拒不改正的，处</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万元的罚款。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3"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snapToGrid w:val="0"/>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0" w:firstLineChars="0"/>
              <w:jc w:val="center"/>
              <w:textAlignment w:val="center"/>
              <w:rPr>
                <w:rFonts w:hint="default" w:ascii="Times New Roman" w:hAnsi="Times New Roman" w:eastAsia="仿宋_GB2312" w:cs="Times New Roman"/>
                <w:snapToGrid w:val="0"/>
                <w:color w:val="auto"/>
                <w:kern w:val="2"/>
                <w:sz w:val="32"/>
                <w:szCs w:val="32"/>
                <w:highlight w:val="none"/>
                <w:lang w:val="en-US" w:eastAsia="zh-CN" w:bidi="ar"/>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snapToGrid w:val="0"/>
                <w:color w:val="auto"/>
                <w:sz w:val="20"/>
                <w:szCs w:val="32"/>
                <w:highlight w:val="none"/>
                <w:lang w:val="en-US" w:eastAsia="zh-CN" w:bidi="ar"/>
              </w:rPr>
            </w:pPr>
            <w:r>
              <w:rPr>
                <w:rFonts w:hint="default" w:ascii="Times New Roman" w:hAnsi="Times New Roman" w:eastAsia="方正仿宋_GBK" w:cs="Times New Roman"/>
                <w:snapToGrid w:val="0"/>
                <w:color w:val="auto"/>
                <w:sz w:val="20"/>
                <w:szCs w:val="18"/>
                <w:highlight w:val="none"/>
                <w:u w:val="none"/>
                <w:lang w:val="en-US" w:eastAsia="zh-CN" w:bidi="ar"/>
              </w:rPr>
              <w:t>违反第三十九条第7</w:t>
            </w:r>
            <w:r>
              <w:rPr>
                <w:rFonts w:hint="eastAsia" w:ascii="Times New Roman" w:hAnsi="Times New Roman" w:eastAsia="方正仿宋_GBK" w:cs="Times New Roman"/>
                <w:snapToGrid w:val="0"/>
                <w:color w:val="auto"/>
                <w:sz w:val="20"/>
                <w:szCs w:val="18"/>
                <w:highlight w:val="none"/>
                <w:u w:val="none"/>
                <w:lang w:val="en-US" w:eastAsia="zh-CN" w:bidi="ar"/>
              </w:rPr>
              <w:t>款</w:t>
            </w:r>
            <w:r>
              <w:rPr>
                <w:rFonts w:hint="default" w:ascii="Times New Roman" w:hAnsi="Times New Roman" w:eastAsia="方正仿宋_GBK" w:cs="Times New Roman"/>
                <w:snapToGrid w:val="0"/>
                <w:color w:val="auto"/>
                <w:sz w:val="20"/>
                <w:szCs w:val="18"/>
                <w:highlight w:val="none"/>
                <w:u w:val="none"/>
                <w:lang w:val="en-US" w:eastAsia="zh-CN" w:bidi="ar"/>
              </w:rPr>
              <w:t>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40" w:lineRule="exact"/>
              <w:ind w:left="0" w:leftChars="0" w:right="0" w:rightChars="0" w:firstLine="400" w:firstLineChars="200"/>
              <w:jc w:val="left"/>
              <w:textAlignment w:val="center"/>
              <w:rPr>
                <w:rFonts w:hint="default" w:ascii="Times New Roman" w:hAnsi="Times New Roman" w:eastAsia="方正仿宋_GBK" w:cs="Times New Roman"/>
                <w:snapToGrid w:val="0"/>
                <w:color w:val="auto"/>
                <w:sz w:val="20"/>
                <w:szCs w:val="32"/>
                <w:highlight w:val="none"/>
                <w:lang w:val="en-US" w:eastAsia="zh-CN" w:bidi="ar"/>
              </w:rPr>
            </w:pPr>
            <w:r>
              <w:rPr>
                <w:rFonts w:hint="default" w:ascii="Times New Roman" w:hAnsi="Times New Roman" w:eastAsia="方正仿宋_GBK" w:cs="Times New Roman"/>
                <w:snapToGrid w:val="0"/>
                <w:color w:val="auto"/>
                <w:sz w:val="20"/>
                <w:szCs w:val="18"/>
                <w:highlight w:val="none"/>
                <w:u w:val="none"/>
                <w:lang w:val="en-US" w:eastAsia="zh-CN" w:bidi="ar"/>
              </w:rPr>
              <w:t>责令改正，并可以约谈有关负责人；拒不改正的，处5万元罚款。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1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4</w:t>
            </w:r>
          </w:p>
        </w:tc>
        <w:tc>
          <w:tcPr>
            <w:tcW w:w="2893" w:type="dxa"/>
            <w:vMerge w:val="restart"/>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定点医药机构通过下列方式骗取医疗保障基金支出的：（一）诱导、协助他人冒名或者虚假就医、购药，提供虚假证明材料，或者串通他人虚开费用单据；（二）伪造、变造、隐匿、涂改、销毁医学文书、医学证明、会计凭证、电子信息等有关资料；（三）虚构医药服务项目；（四）其他骗取医疗保障基金支出的行为。</w:t>
            </w:r>
            <w:r>
              <w:rPr>
                <w:rFonts w:hint="default" w:ascii="Times New Roman" w:hAnsi="Times New Roman" w:eastAsia="方正仿宋_GBK" w:cs="Times New Roman"/>
                <w:snapToGrid w:val="0"/>
                <w:color w:val="auto"/>
                <w:sz w:val="20"/>
                <w:szCs w:val="24"/>
                <w:highlight w:val="none"/>
                <w:u w:val="none"/>
                <w:lang w:val="en-US" w:eastAsia="zh-CN" w:bidi="ar"/>
              </w:rPr>
              <w:br w:type="textWrapping"/>
            </w:r>
            <w:r>
              <w:rPr>
                <w:rFonts w:hint="default" w:ascii="Times New Roman" w:hAnsi="Times New Roman" w:eastAsia="方正仿宋_GBK" w:cs="Times New Roman"/>
                <w:snapToGrid w:val="0"/>
                <w:color w:val="auto"/>
                <w:sz w:val="20"/>
                <w:szCs w:val="18"/>
                <w:highlight w:val="none"/>
                <w:u w:val="none"/>
                <w:lang w:val="en-US" w:eastAsia="zh-CN" w:bidi="ar"/>
              </w:rPr>
              <w:t>定点医药机构以骗取医疗保障基金为目的，实施了《医疗保障基金使用监督管理条例》第三十八条规定行为之一，造成医疗保障基金损失的。</w:t>
            </w:r>
          </w:p>
        </w:tc>
        <w:tc>
          <w:tcPr>
            <w:tcW w:w="12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《医疗保障基金使用监督管理条例》第四十条</w:t>
            </w:r>
          </w:p>
        </w:tc>
        <w:tc>
          <w:tcPr>
            <w:tcW w:w="1793"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righ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倍以下的罚款；责令定点医药机构暂停相关责任部门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1</w:t>
            </w:r>
            <w:r>
              <w:rPr>
                <w:rFonts w:hint="default" w:ascii="Times New Roman" w:hAnsi="Times New Roman" w:eastAsia="方正仿宋_GBK" w:cs="Times New Roman"/>
                <w:snapToGrid w:val="0"/>
                <w:color w:val="auto"/>
                <w:sz w:val="20"/>
                <w:szCs w:val="18"/>
                <w:highlight w:val="none"/>
                <w:u w:val="none"/>
                <w:lang w:val="en-US" w:eastAsia="zh-CN" w:bidi="ar"/>
              </w:rPr>
              <w:t>年以下涉及医疗保障基金使用的医药服务，直至由医疗保障经办机构解除服务协议。</w:t>
            </w: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一般</w:t>
            </w:r>
            <w:r>
              <w:rPr>
                <w:rFonts w:hint="default" w:ascii="Times New Roman" w:hAnsi="Times New Roman" w:eastAsia="方正仿宋_GBK" w:cs="Times New Roman"/>
                <w:i w:val="0"/>
                <w:iCs w:val="0"/>
                <w:snapToGrid w:val="0"/>
                <w:color w:val="auto"/>
                <w:sz w:val="20"/>
                <w:szCs w:val="18"/>
                <w:highlight w:val="none"/>
                <w:u w:val="none"/>
                <w:lang w:val="en-US" w:eastAsia="zh-CN" w:bidi="ar"/>
              </w:rPr>
              <w:t>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骗取医疗保障基金金额在</w:t>
            </w:r>
            <w:r>
              <w:rPr>
                <w:rFonts w:hint="eastAsia" w:ascii="Times New Roman" w:hAnsi="Times New Roman" w:eastAsia="宋体" w:cs="Times New Roman"/>
                <w:snapToGrid w:val="0"/>
                <w:color w:val="auto"/>
                <w:sz w:val="20"/>
                <w:szCs w:val="24"/>
                <w:highlight w:val="none"/>
                <w:u w:val="none"/>
                <w:lang w:val="en-US" w:eastAsia="zh-CN" w:bidi="ar"/>
              </w:rPr>
              <w:t>5000</w:t>
            </w:r>
            <w:r>
              <w:rPr>
                <w:rFonts w:hint="default" w:ascii="Times New Roman" w:hAnsi="Times New Roman" w:eastAsia="方正仿宋_GBK" w:cs="Times New Roman"/>
                <w:snapToGrid w:val="0"/>
                <w:color w:val="auto"/>
                <w:sz w:val="20"/>
                <w:szCs w:val="18"/>
                <w:highlight w:val="none"/>
                <w:u w:val="none"/>
                <w:lang w:val="en-US" w:eastAsia="zh-CN" w:bidi="ar"/>
              </w:rPr>
              <w:t>元以下的。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倍的罚款；责令定点医药机构暂停相关责任部门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8" w:hRule="atLeast"/>
          <w:jc w:val="center"/>
        </w:trPr>
        <w:tc>
          <w:tcPr>
            <w:tcW w:w="7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default" w:ascii="Times New Roman" w:hAnsi="Times New Roman" w:eastAsia="仿宋_GB2312" w:cs="Times New Roman"/>
                <w:snapToGrid w:val="0"/>
                <w:color w:val="auto"/>
                <w:kern w:val="2"/>
                <w:sz w:val="32"/>
                <w:szCs w:val="32"/>
                <w:highlight w:val="none"/>
                <w:lang w:val="en-US" w:eastAsia="zh-CN" w:bidi="ar"/>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严重</w:t>
            </w:r>
            <w:r>
              <w:rPr>
                <w:rFonts w:hint="default" w:ascii="Times New Roman" w:hAnsi="Times New Roman" w:eastAsia="方正仿宋_GBK" w:cs="Times New Roman"/>
                <w:i w:val="0"/>
                <w:iCs w:val="0"/>
                <w:snapToGrid w:val="0"/>
                <w:color w:val="auto"/>
                <w:sz w:val="20"/>
                <w:szCs w:val="18"/>
                <w:highlight w:val="none"/>
                <w:u w:val="none"/>
                <w:lang w:val="en-US" w:eastAsia="zh-CN" w:bidi="ar"/>
              </w:rPr>
              <w:t>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骗取医疗保障基金金额在</w:t>
            </w:r>
            <w:r>
              <w:rPr>
                <w:rFonts w:hint="eastAsia" w:ascii="Times New Roman" w:hAnsi="Times New Roman" w:eastAsia="宋体" w:cs="Times New Roman"/>
                <w:snapToGrid w:val="0"/>
                <w:color w:val="auto"/>
                <w:sz w:val="20"/>
                <w:szCs w:val="24"/>
                <w:highlight w:val="none"/>
                <w:u w:val="none"/>
                <w:lang w:val="en-US" w:eastAsia="zh-CN" w:bidi="ar"/>
              </w:rPr>
              <w:t>5000</w:t>
            </w:r>
            <w:r>
              <w:rPr>
                <w:rFonts w:hint="default" w:ascii="Times New Roman" w:hAnsi="Times New Roman" w:eastAsia="方正仿宋_GBK" w:cs="Times New Roman"/>
                <w:snapToGrid w:val="0"/>
                <w:color w:val="auto"/>
                <w:sz w:val="20"/>
                <w:szCs w:val="18"/>
                <w:highlight w:val="none"/>
                <w:u w:val="none"/>
                <w:lang w:val="en-US" w:eastAsia="zh-CN" w:bidi="ar"/>
              </w:rPr>
              <w:t>元以上，</w:t>
            </w:r>
            <w:r>
              <w:rPr>
                <w:rFonts w:hint="default" w:ascii="Times New Roman" w:hAnsi="Times New Roman" w:eastAsia="方正黑体_GBK" w:cs="Times New Roman"/>
                <w:snapToGrid w:val="0"/>
                <w:color w:val="auto"/>
                <w:sz w:val="20"/>
                <w:szCs w:val="18"/>
                <w:highlight w:val="none"/>
                <w:u w:val="none"/>
                <w:lang w:val="en-US" w:eastAsia="zh-CN" w:bidi="ar"/>
              </w:rPr>
              <w:t>7</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000000" w:sz="4" w:space="0"/>
              <w:bottom w:val="single" w:color="000000"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倍的罚款；责令定点医药机构暂停相关责任部门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1" w:hRule="atLeast"/>
          <w:jc w:val="center"/>
        </w:trPr>
        <w:tc>
          <w:tcPr>
            <w:tcW w:w="7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default" w:ascii="Times New Roman" w:hAnsi="Times New Roman" w:eastAsia="仿宋_GB2312" w:cs="Times New Roman"/>
                <w:snapToGrid w:val="0"/>
                <w:color w:val="auto"/>
                <w:kern w:val="2"/>
                <w:sz w:val="32"/>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骗取医疗保障基金金额在</w:t>
            </w:r>
            <w:r>
              <w:rPr>
                <w:rFonts w:hint="default" w:ascii="Times New Roman" w:hAnsi="Times New Roman" w:eastAsia="宋体" w:cs="Times New Roman"/>
                <w:snapToGrid w:val="0"/>
                <w:color w:val="auto"/>
                <w:sz w:val="20"/>
                <w:szCs w:val="24"/>
                <w:highlight w:val="none"/>
                <w:u w:val="none"/>
                <w:lang w:val="en-US" w:eastAsia="zh-CN" w:bidi="ar"/>
              </w:rPr>
              <w:t>7</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000000" w:sz="4" w:space="0"/>
              <w:bottom w:val="single" w:color="000000"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倍以下的罚款；责令定点医药机构暂停相关责任部门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6</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8</w:t>
            </w:r>
            <w:r>
              <w:rPr>
                <w:rFonts w:hint="default" w:ascii="Times New Roman" w:hAnsi="Times New Roman" w:eastAsia="方正仿宋_GBK" w:cs="Times New Roman"/>
                <w:snapToGrid w:val="0"/>
                <w:color w:val="auto"/>
                <w:sz w:val="20"/>
                <w:szCs w:val="18"/>
                <w:highlight w:val="none"/>
                <w:u w:val="none"/>
                <w:lang w:val="en-US" w:eastAsia="zh-CN" w:bidi="ar"/>
              </w:rPr>
              <w:t>个月以下涉及医疗保障基金使用的医药服务。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9" w:hRule="atLeast"/>
          <w:jc w:val="center"/>
        </w:trPr>
        <w:tc>
          <w:tcPr>
            <w:tcW w:w="7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default" w:ascii="Times New Roman" w:hAnsi="Times New Roman" w:eastAsia="仿宋_GB2312" w:cs="Times New Roman"/>
                <w:snapToGrid w:val="0"/>
                <w:color w:val="auto"/>
                <w:kern w:val="2"/>
                <w:sz w:val="32"/>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000000" w:sz="4" w:space="0"/>
              <w:bottom w:val="single" w:color="000000"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4</w:t>
            </w:r>
            <w:r>
              <w:rPr>
                <w:rFonts w:hint="default" w:ascii="Times New Roman" w:hAnsi="Times New Roman" w:eastAsia="方正仿宋_GBK" w:cs="Times New Roman"/>
                <w:snapToGrid w:val="0"/>
                <w:color w:val="auto"/>
                <w:sz w:val="20"/>
                <w:szCs w:val="18"/>
                <w:highlight w:val="none"/>
                <w:u w:val="none"/>
                <w:lang w:val="en-US" w:eastAsia="zh-CN" w:bidi="ar"/>
              </w:rPr>
              <w:t>倍以下的罚款；责令定点医药机构暂停相关责任部门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8</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个月以下涉及医疗保障基金使用的医药服务。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5" w:hRule="atLeast"/>
          <w:jc w:val="center"/>
        </w:trPr>
        <w:tc>
          <w:tcPr>
            <w:tcW w:w="7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default" w:ascii="Times New Roman" w:hAnsi="Times New Roman" w:eastAsia="仿宋_GB2312" w:cs="Times New Roman"/>
                <w:snapToGrid w:val="0"/>
                <w:color w:val="auto"/>
                <w:kern w:val="2"/>
                <w:sz w:val="32"/>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default" w:ascii="Times New Roman" w:hAnsi="Times New Roman" w:eastAsia="方正仿宋_GBK" w:cs="Times New Roman"/>
                <w:snapToGrid w:val="0"/>
                <w:color w:val="auto"/>
                <w:sz w:val="20"/>
                <w:szCs w:val="18"/>
                <w:highlight w:val="none"/>
                <w:u w:val="none"/>
                <w:lang w:val="en-US" w:eastAsia="zh-CN" w:bidi="ar"/>
              </w:rPr>
              <w:t>万元以上的。</w:t>
            </w:r>
          </w:p>
        </w:tc>
        <w:tc>
          <w:tcPr>
            <w:tcW w:w="4548" w:type="dxa"/>
            <w:tcBorders>
              <w:top w:val="single" w:color="000000" w:sz="4" w:space="0"/>
              <w:left w:val="single" w:color="000000"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4</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倍以下的罚款；责令定点医药机构暂停相关责任部门</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个月以上</w:t>
            </w:r>
            <w:r>
              <w:rPr>
                <w:rFonts w:hint="default" w:ascii="Times New Roman" w:hAnsi="Times New Roman" w:eastAsia="方正仿宋_GBK" w:cs="Times New Roman"/>
                <w:snapToGrid w:val="0"/>
                <w:color w:val="auto"/>
                <w:sz w:val="20"/>
                <w:szCs w:val="24"/>
                <w:highlight w:val="none"/>
                <w:u w:val="none"/>
                <w:lang w:val="en-US" w:eastAsia="zh-CN" w:bidi="ar"/>
              </w:rPr>
              <w:t>12</w:t>
            </w:r>
            <w:r>
              <w:rPr>
                <w:rFonts w:hint="default" w:ascii="Times New Roman" w:hAnsi="Times New Roman" w:eastAsia="方正仿宋_GBK" w:cs="Times New Roman"/>
                <w:snapToGrid w:val="0"/>
                <w:color w:val="auto"/>
                <w:sz w:val="20"/>
                <w:szCs w:val="18"/>
                <w:highlight w:val="none"/>
                <w:u w:val="none"/>
                <w:lang w:val="en-US" w:eastAsia="zh-CN" w:bidi="ar"/>
              </w:rPr>
              <w:t>个月以下涉及医疗保障基金使用的医药服务。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7" w:hRule="atLeast"/>
          <w:jc w:val="center"/>
        </w:trPr>
        <w:tc>
          <w:tcPr>
            <w:tcW w:w="715" w:type="dxa"/>
            <w:vMerge w:val="restart"/>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pPr>
            <w:r>
              <w:rPr>
                <w:rFonts w:hint="default" w:ascii="Times New Roman" w:hAnsi="Times New Roman" w:eastAsia="方正仿宋_GBK" w:cs="Times New Roman"/>
                <w:i w:val="0"/>
                <w:iCs w:val="0"/>
                <w:snapToGrid w:val="0"/>
                <w:color w:val="auto"/>
                <w:kern w:val="0"/>
                <w:sz w:val="20"/>
                <w:szCs w:val="20"/>
                <w:highlight w:val="none"/>
                <w:u w:val="none"/>
                <w:lang w:val="en-US" w:eastAsia="zh-CN" w:bidi="ar"/>
              </w:rPr>
              <w:t>5</w:t>
            </w:r>
          </w:p>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个人有下列情形之一的：（一）将本人的医疗保障凭证交由他人冒名使用；（二）重复享受医疗保障待遇；（三）利用享受医疗保障待遇的机会转卖药品，接受返还现金、实物或者获得其他非法利益。</w:t>
            </w:r>
          </w:p>
        </w:tc>
        <w:tc>
          <w:tcPr>
            <w:tcW w:w="1256"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《医疗保障基金使用监督管理条例》第四十一条</w:t>
            </w:r>
          </w:p>
        </w:tc>
        <w:tc>
          <w:tcPr>
            <w:tcW w:w="1793"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责令改正；造成医疗保障基金损失的，责令退回；属于参保人员的，暂停其医疗费用联网结算</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个月至</w:t>
            </w:r>
            <w:r>
              <w:rPr>
                <w:rFonts w:hint="default" w:ascii="Times New Roman" w:hAnsi="Times New Roman" w:eastAsia="方正仿宋_GBK" w:cs="Times New Roman"/>
                <w:snapToGrid w:val="0"/>
                <w:color w:val="auto"/>
                <w:sz w:val="20"/>
                <w:szCs w:val="24"/>
                <w:highlight w:val="none"/>
                <w:u w:val="none"/>
                <w:lang w:val="en-US" w:eastAsia="zh-CN" w:bidi="ar"/>
              </w:rPr>
              <w:t>12</w:t>
            </w:r>
            <w:r>
              <w:rPr>
                <w:rFonts w:hint="default" w:ascii="Times New Roman" w:hAnsi="Times New Roman" w:eastAsia="方正仿宋_GBK" w:cs="Times New Roman"/>
                <w:snapToGrid w:val="0"/>
                <w:color w:val="auto"/>
                <w:sz w:val="20"/>
                <w:szCs w:val="18"/>
                <w:highlight w:val="none"/>
                <w:u w:val="none"/>
                <w:lang w:val="en-US" w:eastAsia="zh-CN" w:bidi="ar"/>
              </w:rPr>
              <w:t>个月。</w:t>
            </w:r>
          </w:p>
        </w:tc>
        <w:tc>
          <w:tcPr>
            <w:tcW w:w="128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仿宋_GB2312" w:cs="Times New Roman"/>
                <w:snapToGrid w:val="0"/>
                <w:color w:val="auto"/>
                <w:kern w:val="2"/>
                <w:sz w:val="32"/>
                <w:szCs w:val="32"/>
                <w:highlight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一般违法</w:t>
            </w:r>
          </w:p>
        </w:tc>
        <w:tc>
          <w:tcPr>
            <w:tcW w:w="2048"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违反第四十一条第一款情形的。</w:t>
            </w:r>
          </w:p>
        </w:tc>
        <w:tc>
          <w:tcPr>
            <w:tcW w:w="4548"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责令改正；造成医疗保障基金损失的，责令退回；造成医疗保障基金损失1000元以上的，暂停参保人员医疗费用联网结算3个月，每增加100元增加暂停联网结算1个月，直至1900元以上的，暂停医疗费用联网结算12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个人使用他人医疗保障凭证冒名就医、购药的；或者通过伪造、变造、隐匿、涂改、销毁医学文书、医学证明、会计凭证、电子信息等有关资料或者虚构医药服务项目等方式，骗取医疗保障基金支出的。</w:t>
            </w:r>
            <w:r>
              <w:rPr>
                <w:rFonts w:hint="default" w:ascii="Times New Roman" w:hAnsi="Times New Roman" w:eastAsia="方正仿宋_GBK" w:cs="Times New Roman"/>
                <w:snapToGrid w:val="0"/>
                <w:color w:val="auto"/>
                <w:sz w:val="20"/>
                <w:szCs w:val="24"/>
                <w:highlight w:val="none"/>
                <w:u w:val="none"/>
                <w:lang w:val="en-US" w:eastAsia="zh-CN" w:bidi="ar"/>
              </w:rPr>
              <w:t xml:space="preserve"> </w:t>
            </w:r>
            <w:r>
              <w:rPr>
                <w:rFonts w:hint="default" w:ascii="Times New Roman" w:hAnsi="Times New Roman" w:eastAsia="方正仿宋_GBK" w:cs="Times New Roman"/>
                <w:snapToGrid w:val="0"/>
                <w:color w:val="auto"/>
                <w:sz w:val="20"/>
                <w:szCs w:val="24"/>
                <w:highlight w:val="none"/>
                <w:u w:val="none"/>
                <w:lang w:val="en-US" w:eastAsia="zh-CN" w:bidi="ar"/>
              </w:rPr>
              <w:br w:type="textWrapping"/>
            </w:r>
            <w:r>
              <w:rPr>
                <w:rFonts w:hint="default" w:ascii="Times New Roman" w:hAnsi="Times New Roman" w:eastAsia="方正仿宋_GBK" w:cs="Times New Roman"/>
                <w:snapToGrid w:val="0"/>
                <w:color w:val="auto"/>
                <w:sz w:val="20"/>
                <w:szCs w:val="24"/>
                <w:highlight w:val="none"/>
                <w:u w:val="none"/>
                <w:lang w:val="en-US" w:eastAsia="zh-CN" w:bidi="ar"/>
              </w:rPr>
              <w:t xml:space="preserve"> </w:t>
            </w:r>
            <w:r>
              <w:rPr>
                <w:rFonts w:hint="eastAsia" w:ascii="Times New Roman" w:hAnsi="Times New Roman" w:eastAsia="方正仿宋_GBK" w:cs="Times New Roman"/>
                <w:snapToGrid w:val="0"/>
                <w:color w:val="auto"/>
                <w:sz w:val="20"/>
                <w:szCs w:val="24"/>
                <w:highlight w:val="none"/>
                <w:u w:val="none"/>
                <w:lang w:val="en-US" w:eastAsia="zh-CN" w:bidi="ar"/>
              </w:rPr>
              <w:t xml:space="preserve">   </w:t>
            </w:r>
            <w:r>
              <w:rPr>
                <w:rFonts w:hint="default" w:ascii="Times New Roman" w:hAnsi="Times New Roman" w:eastAsia="方正仿宋_GBK" w:cs="Times New Roman"/>
                <w:snapToGrid w:val="0"/>
                <w:color w:val="auto"/>
                <w:sz w:val="20"/>
                <w:szCs w:val="18"/>
                <w:highlight w:val="none"/>
                <w:u w:val="none"/>
                <w:lang w:val="en-US" w:eastAsia="zh-CN" w:bidi="ar"/>
              </w:rPr>
              <w:t>个人以骗取医疗保障基金为目的，实施了《医疗保障基金使用监督管理条例》第四十一条第一款规定行为之一，造成医疗保障基金损失的。</w:t>
            </w:r>
          </w:p>
        </w:tc>
        <w:tc>
          <w:tcPr>
            <w:tcW w:w="12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《医疗保障基金使用监督管理条例》第四十一条</w:t>
            </w:r>
          </w:p>
        </w:tc>
        <w:tc>
          <w:tcPr>
            <w:tcW w:w="1793"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sz w:val="20"/>
                <w:szCs w:val="20"/>
                <w:highlight w:val="none"/>
                <w:u w:val="none"/>
              </w:rPr>
            </w:pPr>
            <w:r>
              <w:rPr>
                <w:rFonts w:hint="default" w:ascii="Times New Roman" w:hAnsi="Times New Roman" w:eastAsia="方正仿宋_GBK" w:cs="Times New Roman"/>
                <w:snapToGrid w:val="0"/>
                <w:color w:val="auto"/>
                <w:sz w:val="20"/>
                <w:szCs w:val="18"/>
                <w:highlight w:val="none"/>
                <w:u w:val="none"/>
                <w:lang w:val="en-US" w:eastAsia="zh-CN" w:bidi="ar"/>
              </w:rPr>
              <w:t>责令改正；造成医疗保障基金损失的，责令退回，处骗取金额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倍以下的罚款；属于参保人员的，暂停其医疗费用联网结算</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个月至</w:t>
            </w:r>
            <w:r>
              <w:rPr>
                <w:rFonts w:hint="default" w:ascii="Times New Roman" w:hAnsi="Times New Roman" w:eastAsia="方正仿宋_GBK" w:cs="Times New Roman"/>
                <w:snapToGrid w:val="0"/>
                <w:color w:val="auto"/>
                <w:sz w:val="20"/>
                <w:szCs w:val="24"/>
                <w:highlight w:val="none"/>
                <w:u w:val="none"/>
                <w:lang w:val="en-US" w:eastAsia="zh-CN" w:bidi="ar"/>
              </w:rPr>
              <w:t>12</w:t>
            </w:r>
            <w:r>
              <w:rPr>
                <w:rFonts w:hint="default" w:ascii="Times New Roman" w:hAnsi="Times New Roman" w:eastAsia="方正仿宋_GBK" w:cs="Times New Roman"/>
                <w:snapToGrid w:val="0"/>
                <w:color w:val="auto"/>
                <w:sz w:val="20"/>
                <w:szCs w:val="18"/>
                <w:highlight w:val="none"/>
                <w:u w:val="none"/>
                <w:lang w:val="en-US" w:eastAsia="zh-CN" w:bidi="ar"/>
              </w:rPr>
              <w:t>个月。</w:t>
            </w:r>
          </w:p>
        </w:tc>
        <w:tc>
          <w:tcPr>
            <w:tcW w:w="1283"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一般</w:t>
            </w:r>
            <w:r>
              <w:rPr>
                <w:rFonts w:hint="default" w:ascii="Times New Roman" w:hAnsi="Times New Roman" w:eastAsia="方正仿宋_GBK" w:cs="Times New Roman"/>
                <w:i w:val="0"/>
                <w:iCs w:val="0"/>
                <w:snapToGrid w:val="0"/>
                <w:color w:val="auto"/>
                <w:sz w:val="20"/>
                <w:szCs w:val="18"/>
                <w:highlight w:val="none"/>
                <w:u w:val="none"/>
                <w:lang w:val="en-US" w:eastAsia="zh-CN" w:bidi="ar"/>
              </w:rPr>
              <w:t>违法</w:t>
            </w:r>
          </w:p>
        </w:tc>
        <w:tc>
          <w:tcPr>
            <w:tcW w:w="204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骗取医疗保障基金金额在</w:t>
            </w:r>
            <w:r>
              <w:rPr>
                <w:rFonts w:hint="eastAsia" w:ascii="Times New Roman" w:hAnsi="Times New Roman" w:eastAsia="方正仿宋_GBK" w:cs="Times New Roman"/>
                <w:snapToGrid w:val="0"/>
                <w:color w:val="auto"/>
                <w:sz w:val="20"/>
                <w:szCs w:val="18"/>
                <w:highlight w:val="none"/>
                <w:u w:val="none"/>
                <w:lang w:val="en-US" w:eastAsia="zh-CN" w:bidi="ar"/>
              </w:rPr>
              <w:t>5000元</w:t>
            </w:r>
            <w:r>
              <w:rPr>
                <w:rFonts w:hint="default" w:ascii="Times New Roman" w:hAnsi="Times New Roman" w:eastAsia="方正仿宋_GBK" w:cs="Times New Roman"/>
                <w:snapToGrid w:val="0"/>
                <w:color w:val="auto"/>
                <w:sz w:val="20"/>
                <w:szCs w:val="18"/>
                <w:highlight w:val="none"/>
                <w:u w:val="none"/>
                <w:lang w:val="en-US" w:eastAsia="zh-CN" w:bidi="ar"/>
              </w:rPr>
              <w:t>以下的。</w:t>
            </w:r>
          </w:p>
        </w:tc>
        <w:tc>
          <w:tcPr>
            <w:tcW w:w="4548" w:type="dxa"/>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责令改正；造成医疗保障基金损失的，责令退回，并处骗取金额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倍的罚款；属于参保人员的，</w:t>
            </w:r>
            <w:r>
              <w:rPr>
                <w:rFonts w:hint="default" w:ascii="Times New Roman" w:hAnsi="Times New Roman" w:eastAsia="方正仿宋_GBK" w:cs="Times New Roman"/>
                <w:i w:val="0"/>
                <w:iCs w:val="0"/>
                <w:snapToGrid w:val="0"/>
                <w:color w:val="auto"/>
                <w:sz w:val="20"/>
                <w:szCs w:val="18"/>
                <w:highlight w:val="none"/>
                <w:u w:val="none"/>
                <w:lang w:val="en-US" w:eastAsia="zh-CN" w:bidi="ar"/>
              </w:rPr>
              <w:t>暂停其医疗费用联网结算12个月。符合应当或可以不予处罚条件的，应当或可以不予处罚。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6"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snapToGrid w:val="0"/>
                <w:color w:val="auto"/>
                <w:kern w:val="2"/>
                <w:sz w:val="20"/>
                <w:szCs w:val="20"/>
                <w:highlight w:val="none"/>
                <w:u w:val="none"/>
                <w:lang w:val="en-US" w:eastAsia="zh-CN" w:bidi="ar"/>
              </w:rPr>
            </w:pPr>
            <w:r>
              <w:rPr>
                <w:rFonts w:hint="eastAsia" w:ascii="Times New Roman" w:hAnsi="Times New Roman" w:eastAsia="方正仿宋_GBK" w:cs="Times New Roman"/>
                <w:i w:val="0"/>
                <w:iCs w:val="0"/>
                <w:snapToGrid w:val="0"/>
                <w:color w:val="auto"/>
                <w:sz w:val="20"/>
                <w:szCs w:val="18"/>
                <w:highlight w:val="none"/>
                <w:u w:val="none"/>
                <w:lang w:val="en-US" w:eastAsia="zh-CN" w:bidi="ar"/>
              </w:rPr>
              <w:t>严重</w:t>
            </w:r>
            <w:r>
              <w:rPr>
                <w:rFonts w:hint="default" w:ascii="Times New Roman" w:hAnsi="Times New Roman" w:eastAsia="方正仿宋_GBK" w:cs="Times New Roman"/>
                <w:i w:val="0"/>
                <w:iCs w:val="0"/>
                <w:snapToGrid w:val="0"/>
                <w:color w:val="auto"/>
                <w:sz w:val="20"/>
                <w:szCs w:val="18"/>
                <w:highlight w:val="none"/>
                <w:u w:val="none"/>
                <w:lang w:val="en-US" w:eastAsia="zh-CN" w:bidi="ar"/>
              </w:rPr>
              <w:t>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骗取医疗保障基金金额在</w:t>
            </w:r>
            <w:r>
              <w:rPr>
                <w:rFonts w:hint="eastAsia" w:ascii="Times New Roman" w:hAnsi="Times New Roman" w:eastAsia="方正仿宋_GBK" w:cs="Times New Roman"/>
                <w:snapToGrid w:val="0"/>
                <w:color w:val="auto"/>
                <w:sz w:val="20"/>
                <w:szCs w:val="18"/>
                <w:highlight w:val="none"/>
                <w:u w:val="none"/>
                <w:lang w:val="en-US" w:eastAsia="zh-CN" w:bidi="ar"/>
              </w:rPr>
              <w:t>5000元</w:t>
            </w:r>
            <w:r>
              <w:rPr>
                <w:rFonts w:hint="default" w:ascii="Times New Roman" w:hAnsi="Times New Roman" w:eastAsia="方正仿宋_GBK" w:cs="Times New Roman"/>
                <w:snapToGrid w:val="0"/>
                <w:color w:val="auto"/>
                <w:sz w:val="20"/>
                <w:szCs w:val="18"/>
                <w:highlight w:val="none"/>
                <w:u w:val="none"/>
                <w:lang w:val="en-US" w:eastAsia="zh-CN" w:bidi="ar"/>
              </w:rPr>
              <w:t>以上，</w:t>
            </w:r>
            <w:r>
              <w:rPr>
                <w:rFonts w:hint="default" w:ascii="Times New Roman" w:hAnsi="Times New Roman" w:eastAsia="方正黑体_GBK" w:cs="Times New Roman"/>
                <w:snapToGrid w:val="0"/>
                <w:color w:val="auto"/>
                <w:sz w:val="20"/>
                <w:szCs w:val="18"/>
                <w:highlight w:val="none"/>
                <w:u w:val="none"/>
                <w:lang w:val="en-US" w:eastAsia="zh-CN" w:bidi="ar"/>
              </w:rPr>
              <w:t>7</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责令改正；造成医疗保障基金损失的，责令退回，并处骗取金额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倍的罚款；属于参保人员的，</w:t>
            </w:r>
            <w:r>
              <w:rPr>
                <w:rFonts w:hint="default" w:ascii="Times New Roman" w:hAnsi="Times New Roman" w:eastAsia="方正仿宋_GBK" w:cs="Times New Roman"/>
                <w:i w:val="0"/>
                <w:iCs w:val="0"/>
                <w:snapToGrid w:val="0"/>
                <w:color w:val="auto"/>
                <w:sz w:val="20"/>
                <w:szCs w:val="18"/>
                <w:highlight w:val="none"/>
                <w:u w:val="none"/>
                <w:lang w:val="en-US" w:eastAsia="zh-CN" w:bidi="ar"/>
              </w:rPr>
              <w:t>暂停其医疗费用联网结算12个月。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snapToGrid w:val="0"/>
                <w:color w:val="auto"/>
                <w:kern w:val="2"/>
                <w:sz w:val="20"/>
                <w:szCs w:val="20"/>
                <w:highlight w:val="none"/>
                <w:u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骗取医疗保障基金金额在</w:t>
            </w:r>
            <w:r>
              <w:rPr>
                <w:rFonts w:hint="default" w:ascii="Times New Roman" w:hAnsi="Times New Roman" w:eastAsia="宋体" w:cs="Times New Roman"/>
                <w:snapToGrid w:val="0"/>
                <w:color w:val="auto"/>
                <w:sz w:val="20"/>
                <w:szCs w:val="24"/>
                <w:highlight w:val="none"/>
                <w:u w:val="none"/>
                <w:lang w:val="en-US" w:eastAsia="zh-CN" w:bidi="ar"/>
              </w:rPr>
              <w:t>7</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责令改正；造成医疗保障基金损失的，责令退回，并处骗取金额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2</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倍以下的罚款；属于参保人员的，</w:t>
            </w:r>
            <w:r>
              <w:rPr>
                <w:rFonts w:hint="default" w:ascii="Times New Roman" w:hAnsi="Times New Roman" w:eastAsia="方正仿宋_GBK" w:cs="Times New Roman"/>
                <w:i w:val="0"/>
                <w:iCs w:val="0"/>
                <w:snapToGrid w:val="0"/>
                <w:color w:val="auto"/>
                <w:sz w:val="20"/>
                <w:szCs w:val="18"/>
                <w:highlight w:val="none"/>
                <w:u w:val="none"/>
                <w:lang w:val="en-US" w:eastAsia="zh-CN" w:bidi="ar"/>
              </w:rPr>
              <w:t>暂停其医疗费用联网结算12个月。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snapToGrid w:val="0"/>
                <w:color w:val="auto"/>
                <w:kern w:val="2"/>
                <w:sz w:val="20"/>
                <w:szCs w:val="20"/>
                <w:highlight w:val="none"/>
                <w:u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default" w:ascii="Times New Roman" w:hAnsi="Times New Roman" w:eastAsia="方正仿宋_GBK" w:cs="Times New Roman"/>
                <w:snapToGrid w:val="0"/>
                <w:color w:val="auto"/>
                <w:sz w:val="20"/>
                <w:szCs w:val="24"/>
                <w:highlight w:val="none"/>
                <w:u w:val="none"/>
                <w:lang w:val="en-US" w:eastAsia="zh-CN" w:bidi="ar"/>
              </w:rPr>
              <w:t>10</w:t>
            </w:r>
            <w:r>
              <w:rPr>
                <w:rFonts w:hint="default" w:ascii="Times New Roman" w:hAnsi="Times New Roman" w:eastAsia="方正仿宋_GBK" w:cs="Times New Roman"/>
                <w:snapToGrid w:val="0"/>
                <w:color w:val="auto"/>
                <w:sz w:val="20"/>
                <w:szCs w:val="18"/>
                <w:highlight w:val="none"/>
                <w:u w:val="none"/>
                <w:lang w:val="en-US" w:eastAsia="zh-CN" w:bidi="ar"/>
              </w:rPr>
              <w:t>万元以上</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default" w:ascii="Times New Roman" w:hAnsi="Times New Roman" w:eastAsia="方正仿宋_GBK" w:cs="Times New Roman"/>
                <w:snapToGrid w:val="0"/>
                <w:color w:val="auto"/>
                <w:sz w:val="20"/>
                <w:szCs w:val="18"/>
                <w:highlight w:val="none"/>
                <w:u w:val="none"/>
                <w:lang w:val="en-US" w:eastAsia="zh-CN" w:bidi="ar"/>
              </w:rPr>
              <w:t>万元以下的。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责令改正；造成医疗保障基金损失的，责令退回，并处骗取金额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3</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4</w:t>
            </w:r>
            <w:r>
              <w:rPr>
                <w:rFonts w:hint="default" w:ascii="Times New Roman" w:hAnsi="Times New Roman" w:eastAsia="方正仿宋_GBK" w:cs="Times New Roman"/>
                <w:snapToGrid w:val="0"/>
                <w:color w:val="auto"/>
                <w:sz w:val="20"/>
                <w:szCs w:val="18"/>
                <w:highlight w:val="none"/>
                <w:u w:val="none"/>
                <w:lang w:val="en-US" w:eastAsia="zh-CN" w:bidi="ar"/>
              </w:rPr>
              <w:t>倍以下的罚款；属于参保人员的，</w:t>
            </w:r>
            <w:r>
              <w:rPr>
                <w:rFonts w:hint="default" w:ascii="Times New Roman" w:hAnsi="Times New Roman" w:eastAsia="方正仿宋_GBK" w:cs="Times New Roman"/>
                <w:i w:val="0"/>
                <w:iCs w:val="0"/>
                <w:snapToGrid w:val="0"/>
                <w:color w:val="auto"/>
                <w:sz w:val="20"/>
                <w:szCs w:val="18"/>
                <w:highlight w:val="none"/>
                <w:u w:val="none"/>
                <w:lang w:val="en-US" w:eastAsia="zh-CN" w:bidi="ar"/>
              </w:rPr>
              <w:t>暂停其医疗费用联网结算12个月。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1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2893"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rPr>
                <w:rFonts w:hint="default" w:ascii="Times New Roman" w:hAnsi="Times New Roman" w:eastAsia="方正仿宋_GBK" w:cs="Times New Roman"/>
                <w:i w:val="0"/>
                <w:iCs w:val="0"/>
                <w:snapToGrid w:val="0"/>
                <w:color w:val="auto"/>
                <w:sz w:val="20"/>
                <w:szCs w:val="20"/>
                <w:highlight w:val="none"/>
                <w:u w:val="none"/>
              </w:rPr>
            </w:pPr>
          </w:p>
        </w:tc>
        <w:tc>
          <w:tcPr>
            <w:tcW w:w="12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7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rPr>
                <w:rFonts w:hint="default" w:ascii="Times New Roman" w:hAnsi="Times New Roman" w:eastAsia="方正仿宋_GBK" w:cs="Times New Roman"/>
                <w:i w:val="0"/>
                <w:iCs w:val="0"/>
                <w:snapToGrid w:val="0"/>
                <w:color w:val="auto"/>
                <w:sz w:val="20"/>
                <w:szCs w:val="20"/>
                <w:highlight w:val="none"/>
                <w:u w:val="none"/>
              </w:rPr>
            </w:pPr>
          </w:p>
        </w:tc>
        <w:tc>
          <w:tcPr>
            <w:tcW w:w="128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0" w:firstLineChars="0"/>
              <w:jc w:val="center"/>
              <w:textAlignment w:val="center"/>
              <w:rPr>
                <w:rFonts w:hint="default" w:ascii="Times New Roman" w:hAnsi="Times New Roman" w:eastAsia="方正仿宋_GBK" w:cs="Times New Roman"/>
                <w:snapToGrid w:val="0"/>
                <w:color w:val="auto"/>
                <w:kern w:val="2"/>
                <w:sz w:val="20"/>
                <w:szCs w:val="20"/>
                <w:highlight w:val="none"/>
                <w:u w:val="none"/>
                <w:lang w:val="en-US" w:eastAsia="zh-CN" w:bidi="ar"/>
              </w:rPr>
            </w:pPr>
            <w:r>
              <w:rPr>
                <w:rFonts w:hint="default" w:ascii="Times New Roman" w:hAnsi="Times New Roman" w:eastAsia="方正仿宋_GBK" w:cs="Times New Roman"/>
                <w:i w:val="0"/>
                <w:iCs w:val="0"/>
                <w:snapToGrid w:val="0"/>
                <w:color w:val="auto"/>
                <w:sz w:val="20"/>
                <w:szCs w:val="18"/>
                <w:highlight w:val="none"/>
                <w:u w:val="none"/>
                <w:lang w:val="en-US" w:eastAsia="zh-CN" w:bidi="ar"/>
              </w:rPr>
              <w:t>严重违法</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both"/>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骗取</w:t>
            </w:r>
            <w:r>
              <w:rPr>
                <w:rFonts w:hint="eastAsia" w:ascii="Times New Roman" w:hAnsi="Times New Roman" w:eastAsia="方正仿宋_GBK" w:cs="Times New Roman"/>
                <w:snapToGrid w:val="0"/>
                <w:color w:val="auto"/>
                <w:sz w:val="20"/>
                <w:szCs w:val="18"/>
                <w:highlight w:val="none"/>
                <w:u w:val="none"/>
                <w:lang w:val="en-US" w:eastAsia="zh-CN" w:bidi="ar"/>
              </w:rPr>
              <w:t>医疗保障</w:t>
            </w:r>
            <w:r>
              <w:rPr>
                <w:rFonts w:hint="default" w:ascii="Times New Roman" w:hAnsi="Times New Roman" w:eastAsia="方正仿宋_GBK" w:cs="Times New Roman"/>
                <w:snapToGrid w:val="0"/>
                <w:color w:val="auto"/>
                <w:sz w:val="20"/>
                <w:szCs w:val="18"/>
                <w:highlight w:val="none"/>
                <w:u w:val="none"/>
                <w:lang w:val="en-US" w:eastAsia="zh-CN" w:bidi="ar"/>
              </w:rPr>
              <w:t>基金金额在</w:t>
            </w:r>
            <w:r>
              <w:rPr>
                <w:rFonts w:hint="default" w:ascii="Times New Roman" w:hAnsi="Times New Roman" w:eastAsia="方正仿宋_GBK" w:cs="Times New Roman"/>
                <w:snapToGrid w:val="0"/>
                <w:color w:val="auto"/>
                <w:sz w:val="20"/>
                <w:szCs w:val="24"/>
                <w:highlight w:val="none"/>
                <w:u w:val="none"/>
                <w:lang w:val="en-US" w:eastAsia="zh-CN" w:bidi="ar"/>
              </w:rPr>
              <w:t>50</w:t>
            </w:r>
            <w:r>
              <w:rPr>
                <w:rFonts w:hint="default" w:ascii="Times New Roman" w:hAnsi="Times New Roman" w:eastAsia="方正仿宋_GBK" w:cs="Times New Roman"/>
                <w:snapToGrid w:val="0"/>
                <w:color w:val="auto"/>
                <w:sz w:val="20"/>
                <w:szCs w:val="18"/>
                <w:highlight w:val="none"/>
                <w:u w:val="none"/>
                <w:lang w:val="en-US" w:eastAsia="zh-CN" w:bidi="ar"/>
              </w:rPr>
              <w:t>万元以上的。</w:t>
            </w:r>
          </w:p>
        </w:tc>
        <w:tc>
          <w:tcPr>
            <w:tcW w:w="4548"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kern w:val="2"/>
                <w:sz w:val="20"/>
                <w:szCs w:val="20"/>
                <w:highlight w:val="none"/>
                <w:u w:val="none"/>
                <w:lang w:val="en-US" w:eastAsia="zh-CN" w:bidi="ar-SA"/>
              </w:rPr>
            </w:pPr>
            <w:r>
              <w:rPr>
                <w:rFonts w:hint="default" w:ascii="Times New Roman" w:hAnsi="Times New Roman" w:eastAsia="方正仿宋_GBK" w:cs="Times New Roman"/>
                <w:snapToGrid w:val="0"/>
                <w:color w:val="auto"/>
                <w:sz w:val="20"/>
                <w:szCs w:val="18"/>
                <w:highlight w:val="none"/>
                <w:u w:val="none"/>
                <w:lang w:val="en-US" w:eastAsia="zh-CN" w:bidi="ar"/>
              </w:rPr>
              <w:t>责令改正；造成医疗保障基金损失的，责令退回，并处骗取金额</w:t>
            </w:r>
            <w:r>
              <w:rPr>
                <w:rFonts w:hint="default" w:ascii="Times New Roman" w:hAnsi="Times New Roman" w:eastAsia="方正仿宋_GBK" w:cs="Times New Roman"/>
                <w:snapToGrid w:val="0"/>
                <w:color w:val="auto"/>
                <w:sz w:val="20"/>
                <w:szCs w:val="24"/>
                <w:highlight w:val="none"/>
                <w:u w:val="none"/>
                <w:lang w:val="en-US" w:eastAsia="zh-CN" w:bidi="ar"/>
              </w:rPr>
              <w:t>4</w:t>
            </w:r>
            <w:r>
              <w:rPr>
                <w:rFonts w:hint="default" w:ascii="Times New Roman" w:hAnsi="Times New Roman" w:eastAsia="方正仿宋_GBK" w:cs="Times New Roman"/>
                <w:snapToGrid w:val="0"/>
                <w:color w:val="auto"/>
                <w:sz w:val="20"/>
                <w:szCs w:val="18"/>
                <w:highlight w:val="none"/>
                <w:u w:val="none"/>
                <w:lang w:val="en-US" w:eastAsia="zh-CN" w:bidi="ar"/>
              </w:rPr>
              <w:t>倍以上</w:t>
            </w:r>
            <w:r>
              <w:rPr>
                <w:rFonts w:hint="default" w:ascii="Times New Roman" w:hAnsi="Times New Roman" w:eastAsia="方正仿宋_GBK" w:cs="Times New Roman"/>
                <w:snapToGrid w:val="0"/>
                <w:color w:val="auto"/>
                <w:sz w:val="20"/>
                <w:szCs w:val="24"/>
                <w:highlight w:val="none"/>
                <w:u w:val="none"/>
                <w:lang w:val="en-US" w:eastAsia="zh-CN" w:bidi="ar"/>
              </w:rPr>
              <w:t>5</w:t>
            </w:r>
            <w:r>
              <w:rPr>
                <w:rFonts w:hint="default" w:ascii="Times New Roman" w:hAnsi="Times New Roman" w:eastAsia="方正仿宋_GBK" w:cs="Times New Roman"/>
                <w:snapToGrid w:val="0"/>
                <w:color w:val="auto"/>
                <w:sz w:val="20"/>
                <w:szCs w:val="18"/>
                <w:highlight w:val="none"/>
                <w:u w:val="none"/>
                <w:lang w:val="en-US" w:eastAsia="zh-CN" w:bidi="ar"/>
              </w:rPr>
              <w:t>倍以下的罚款；属于参保人员的，</w:t>
            </w:r>
            <w:r>
              <w:rPr>
                <w:rFonts w:hint="default" w:ascii="Times New Roman" w:hAnsi="Times New Roman" w:eastAsia="方正仿宋_GBK" w:cs="Times New Roman"/>
                <w:i w:val="0"/>
                <w:iCs w:val="0"/>
                <w:snapToGrid w:val="0"/>
                <w:color w:val="auto"/>
                <w:sz w:val="20"/>
                <w:szCs w:val="18"/>
                <w:highlight w:val="none"/>
                <w:u w:val="none"/>
                <w:lang w:val="en-US" w:eastAsia="zh-CN" w:bidi="ar"/>
              </w:rPr>
              <w:t>暂停其医疗费用联网结算12个月。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jc w:val="center"/>
        </w:trPr>
        <w:tc>
          <w:tcPr>
            <w:tcW w:w="14536" w:type="dxa"/>
            <w:gridSpan w:val="7"/>
            <w:tcBorders>
              <w:top w:val="single" w:color="000000"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80" w:lineRule="exact"/>
              <w:ind w:left="0" w:leftChars="0" w:right="0" w:rightChars="0" w:firstLine="400" w:firstLineChars="200"/>
              <w:jc w:val="left"/>
              <w:textAlignment w:val="center"/>
              <w:rPr>
                <w:rFonts w:hint="default" w:ascii="Times New Roman" w:hAnsi="Times New Roman" w:eastAsia="方正仿宋_GBK" w:cs="Times New Roman"/>
                <w:i w:val="0"/>
                <w:iCs w:val="0"/>
                <w:snapToGrid w:val="0"/>
                <w:color w:val="auto"/>
                <w:sz w:val="20"/>
                <w:szCs w:val="20"/>
                <w:highlight w:val="none"/>
                <w:u w:val="none"/>
                <w:lang w:val="en-US"/>
              </w:rPr>
            </w:pPr>
            <w:r>
              <w:rPr>
                <w:rFonts w:hint="default" w:ascii="Times New Roman" w:hAnsi="Times New Roman" w:eastAsia="方正仿宋_GBK" w:cs="Times New Roman"/>
                <w:snapToGrid w:val="0"/>
                <w:color w:val="auto"/>
                <w:sz w:val="20"/>
                <w:szCs w:val="18"/>
                <w:highlight w:val="none"/>
                <w:u w:val="none"/>
                <w:lang w:val="en-US" w:eastAsia="zh-CN" w:bidi="ar"/>
              </w:rPr>
              <w:t>注：1.适用条件及其对应的具体处罚裁量标准中的“以上”“以下”</w:t>
            </w:r>
            <w:r>
              <w:rPr>
                <w:rFonts w:hint="eastAsia" w:ascii="Times New Roman" w:hAnsi="Times New Roman" w:eastAsia="方正仿宋_GBK" w:cs="Times New Roman"/>
                <w:snapToGrid w:val="0"/>
                <w:color w:val="auto"/>
                <w:sz w:val="20"/>
                <w:szCs w:val="18"/>
                <w:highlight w:val="none"/>
                <w:u w:val="none"/>
                <w:lang w:val="en-US" w:eastAsia="zh-CN" w:bidi="ar"/>
              </w:rPr>
              <w:t>均</w:t>
            </w:r>
            <w:r>
              <w:rPr>
                <w:rFonts w:hint="default" w:ascii="Times New Roman" w:hAnsi="Times New Roman" w:eastAsia="方正仿宋_GBK" w:cs="Times New Roman"/>
                <w:snapToGrid w:val="0"/>
                <w:color w:val="auto"/>
                <w:sz w:val="20"/>
                <w:szCs w:val="18"/>
                <w:highlight w:val="none"/>
                <w:u w:val="none"/>
                <w:lang w:val="en-US" w:eastAsia="zh-CN" w:bidi="ar"/>
              </w:rPr>
              <w:t>包括本数</w:t>
            </w:r>
            <w:r>
              <w:rPr>
                <w:rFonts w:hint="eastAsia" w:ascii="Times New Roman" w:hAnsi="Times New Roman" w:eastAsia="方正仿宋_GBK" w:cs="Times New Roman"/>
                <w:snapToGrid w:val="0"/>
                <w:color w:val="auto"/>
                <w:sz w:val="20"/>
                <w:szCs w:val="18"/>
                <w:highlight w:val="none"/>
                <w:u w:val="none"/>
                <w:lang w:val="en-US" w:eastAsia="zh-CN" w:bidi="ar"/>
              </w:rPr>
              <w:t>；</w:t>
            </w:r>
            <w:r>
              <w:rPr>
                <w:rFonts w:hint="default" w:ascii="Times New Roman" w:hAnsi="Times New Roman" w:eastAsia="方正仿宋_GBK" w:cs="Times New Roman"/>
                <w:snapToGrid w:val="0"/>
                <w:color w:val="auto"/>
                <w:sz w:val="20"/>
                <w:szCs w:val="18"/>
                <w:highlight w:val="none"/>
                <w:u w:val="none"/>
                <w:lang w:val="en-US" w:eastAsia="zh-CN" w:bidi="ar"/>
              </w:rPr>
              <w:t>2.本裁量细则所述违法情形及裁量标准，是指对不具备从轻、减轻、从重等情节违法行为的裁量标准，如有从轻、减轻、从重等情节，按照《裁量基准》有关条款，在对应的裁量标准处罚幅度内进行裁量</w:t>
            </w:r>
            <w:r>
              <w:rPr>
                <w:rFonts w:hint="eastAsia" w:ascii="Times New Roman" w:hAnsi="Times New Roman" w:eastAsia="方正仿宋_GBK" w:cs="Times New Roman"/>
                <w:snapToGrid w:val="0"/>
                <w:color w:val="auto"/>
                <w:sz w:val="20"/>
                <w:szCs w:val="18"/>
                <w:highlight w:val="none"/>
                <w:u w:val="none"/>
                <w:lang w:val="en-US" w:eastAsia="zh-CN" w:bidi="ar"/>
              </w:rPr>
              <w:t>；</w:t>
            </w:r>
            <w:r>
              <w:rPr>
                <w:rFonts w:hint="default" w:ascii="Times New Roman" w:hAnsi="Times New Roman" w:eastAsia="方正仿宋_GBK" w:cs="Times New Roman"/>
                <w:snapToGrid w:val="0"/>
                <w:color w:val="auto"/>
                <w:sz w:val="20"/>
                <w:szCs w:val="18"/>
                <w:highlight w:val="none"/>
                <w:u w:val="none"/>
                <w:lang w:val="en-US" w:eastAsia="zh-CN" w:bidi="ar"/>
              </w:rPr>
              <w:t>3.</w:t>
            </w:r>
            <w:r>
              <w:rPr>
                <w:rFonts w:hint="eastAsia" w:ascii="Times New Roman" w:hAnsi="Times New Roman" w:eastAsia="方正仿宋_GBK" w:cs="Times New Roman"/>
                <w:snapToGrid w:val="0"/>
                <w:color w:val="auto"/>
                <w:sz w:val="20"/>
                <w:szCs w:val="18"/>
                <w:highlight w:val="none"/>
                <w:u w:val="none"/>
                <w:lang w:val="en-US" w:eastAsia="zh-CN" w:bidi="ar"/>
              </w:rPr>
              <w:t>行政处罚信息公示时，对照违法等次，按照国家和我市有关规定执行。</w:t>
            </w:r>
          </w:p>
        </w:tc>
      </w:tr>
    </w:tbl>
    <w:p>
      <w:pPr>
        <w:widowControl w:val="0"/>
        <w:jc w:val="both"/>
        <w:rPr>
          <w:rFonts w:ascii="Times New Roman" w:hAnsi="Times New Roman" w:eastAsia="宋体" w:cs="Times New Roman"/>
          <w:vanish/>
          <w:kern w:val="2"/>
          <w:sz w:val="36"/>
          <w:szCs w:val="36"/>
          <w:lang w:val="en-US" w:eastAsia="zh-CN" w:bidi="ar-SA"/>
        </w:rPr>
      </w:pPr>
    </w:p>
    <w:p>
      <w:pPr>
        <w:rPr>
          <w:rFonts w:ascii="Times New Roman" w:hAnsi="Times New Roman" w:eastAsia="宋体" w:cs="Times New Roman"/>
          <w:vanish/>
          <w:sz w:val="21"/>
        </w:rPr>
      </w:pPr>
    </w:p>
    <w:p>
      <w:pPr>
        <w:rPr>
          <w:rFonts w:hint="eastAsia"/>
          <w:vanish/>
          <w:sz w:val="21"/>
          <w:lang w:val="en-US" w:eastAsia="zh-CN"/>
        </w:rPr>
        <w:sectPr>
          <w:headerReference r:id="rId3" w:type="default"/>
          <w:footerReference r:id="rId4" w:type="default"/>
          <w:pgSz w:w="16838" w:h="11906" w:orient="landscape"/>
          <w:pgMar w:top="1587" w:right="1962" w:bottom="1474" w:left="1848" w:header="851" w:footer="992" w:gutter="0"/>
          <w:pgNumType w:fmt="numberInDash"/>
          <w:cols w:space="0" w:num="1"/>
          <w:rtlGutter w:val="0"/>
          <w:docGrid w:type="lines" w:linePitch="327" w:charSpace="0"/>
        </w:sectPr>
      </w:pPr>
    </w:p>
    <w:p>
      <w:pPr>
        <w:pStyle w:val="2"/>
        <w:rPr>
          <w:rFonts w:hint="eastAsia"/>
          <w:vanish/>
          <w:lang w:val="en-US" w:eastAsia="zh-CN"/>
        </w:rPr>
      </w:pPr>
    </w:p>
    <w:p>
      <w:pPr>
        <w:rPr>
          <w:rFonts w:hint="eastAsia"/>
          <w:vanish/>
          <w:lang w:val="en-US" w:eastAsia="zh-CN"/>
        </w:rPr>
      </w:pPr>
    </w:p>
    <w:p>
      <w:pPr>
        <w:pStyle w:val="2"/>
        <w:rPr>
          <w:rFonts w:hint="eastAsia"/>
          <w:vanish/>
          <w:lang w:val="en-US" w:eastAsia="zh-CN"/>
        </w:rPr>
      </w:pPr>
    </w:p>
    <w:p>
      <w:pPr>
        <w:rPr>
          <w:rFonts w:hint="eastAsia"/>
          <w:vanish/>
          <w:lang w:val="en-US" w:eastAsia="zh-CN"/>
        </w:rPr>
        <w:sectPr>
          <w:pgSz w:w="16838" w:h="11906" w:orient="landscape"/>
          <w:pgMar w:top="1587" w:right="1962" w:bottom="1474" w:left="1848" w:header="851" w:footer="992" w:gutter="0"/>
          <w:pgNumType w:fmt="numberInDash"/>
          <w:cols w:space="0" w:num="1"/>
          <w:rtlGutter w:val="0"/>
          <w:docGrid w:type="lines" w:linePitch="327" w:charSpace="0"/>
        </w:sectPr>
      </w:pPr>
    </w:p>
    <w:p>
      <w:pPr>
        <w:pStyle w:val="2"/>
        <w:rPr>
          <w:rFonts w:hint="eastAsia"/>
          <w:vanish/>
          <w:lang w:val="en-US" w:eastAsia="zh-CN"/>
        </w:rPr>
        <w:sectPr>
          <w:pgSz w:w="16838" w:h="11906" w:orient="landscape"/>
          <w:pgMar w:top="1587" w:right="1962" w:bottom="1474" w:left="1848" w:header="851" w:footer="992" w:gutter="0"/>
          <w:pgNumType w:fmt="numberInDash"/>
          <w:cols w:space="0" w:num="1"/>
          <w:rtlGutter w:val="0"/>
          <w:docGrid w:type="lines" w:linePitch="327" w:charSpace="0"/>
        </w:sectPr>
      </w:pPr>
    </w:p>
    <w:p>
      <w:pPr>
        <w:rPr>
          <w:rFonts w:hint="eastAsia"/>
          <w:vanish/>
          <w:lang w:val="en-US" w:eastAsia="zh-CN"/>
        </w:rPr>
      </w:pPr>
    </w:p>
    <w:p>
      <w:pPr>
        <w:rPr>
          <w:rFonts w:ascii="Times New Roman" w:hAnsi="Times New Roman"/>
          <w:vanish/>
          <w:szCs w:val="24"/>
        </w:rPr>
      </w:pPr>
      <w:r>
        <w:rPr>
          <w:rFonts w:hint="eastAsia" w:ascii="Times New Roman" w:hAnsi="Times New Roman" w:eastAsia="仿宋_GB2312" w:cs="Times New Roman"/>
          <w:vanish/>
          <w:sz w:val="32"/>
          <w:szCs w:val="32"/>
        </w:rPr>
        <w:br w:type="page"/>
      </w:r>
    </w:p>
    <w:p>
      <w:pPr>
        <w:rPr>
          <w:rFonts w:ascii="Times New Roman" w:hAnsi="Times New Roman"/>
          <w:vanish/>
          <w:szCs w:val="24"/>
        </w:rPr>
      </w:pPr>
    </w:p>
    <w:p>
      <w:pPr>
        <w:rPr>
          <w:rFonts w:ascii="Times New Roman" w:hAnsi="Times New Roman"/>
          <w:vanish/>
          <w:szCs w:val="24"/>
        </w:rPr>
      </w:pPr>
    </w:p>
    <w:p>
      <w:pPr>
        <w:rPr>
          <w:rFonts w:ascii="Times New Roman" w:hAnsi="Times New Roman"/>
          <w:vanish/>
          <w:szCs w:val="24"/>
        </w:rPr>
      </w:pPr>
    </w:p>
    <w:p>
      <w:pPr>
        <w:rPr>
          <w:rFonts w:ascii="Times New Roman" w:hAnsi="Times New Roman"/>
          <w:vanish/>
          <w:szCs w:val="24"/>
        </w:rPr>
      </w:pPr>
    </w:p>
    <w:p>
      <w:pPr>
        <w:rPr>
          <w:rFonts w:ascii="Times New Roman" w:hAnsi="Times New Roman"/>
          <w:vanish/>
          <w:szCs w:val="24"/>
        </w:rPr>
      </w:pPr>
    </w:p>
    <w:p>
      <w:pPr>
        <w:keepNext/>
        <w:keepLines/>
        <w:widowControl w:val="0"/>
        <w:spacing w:before="340" w:after="330" w:line="578" w:lineRule="auto"/>
        <w:jc w:val="both"/>
        <w:outlineLvl w:val="0"/>
        <w:rPr>
          <w:rFonts w:hint="eastAsia" w:ascii="Times New Roman" w:hAnsi="Times New Roman" w:eastAsia="宋体" w:cs="Times New Roman"/>
          <w:b/>
          <w:bCs/>
          <w:vanish/>
          <w:kern w:val="44"/>
          <w:sz w:val="44"/>
          <w:szCs w:val="44"/>
          <w:lang w:val="en-US" w:eastAsia="zh-CN" w:bidi="ar-SA"/>
        </w:rPr>
      </w:pPr>
    </w:p>
    <w:p>
      <w:pPr>
        <w:rPr>
          <w:rFonts w:ascii="Times New Roman" w:hAnsi="Times New Roman" w:eastAsia="仿宋_GB2312" w:cs="Times New Roman"/>
          <w:vanish/>
          <w:sz w:val="32"/>
          <w:szCs w:val="32"/>
        </w:rPr>
      </w:pPr>
    </w:p>
    <w:p>
      <w:pPr>
        <w:rPr>
          <w:rFonts w:ascii="Times New Roman" w:hAnsi="Times New Roman" w:eastAsia="仿宋_GB2312" w:cs="Times New Roman"/>
          <w:vanish/>
          <w:sz w:val="32"/>
          <w:szCs w:val="32"/>
        </w:rPr>
      </w:pPr>
    </w:p>
    <w:p>
      <w:pPr>
        <w:rPr>
          <w:rFonts w:ascii="Times New Roman" w:hAnsi="Times New Roman" w:eastAsia="仿宋_GB2312" w:cs="Times New Roman"/>
          <w:vanish/>
          <w:sz w:val="32"/>
          <w:szCs w:val="32"/>
        </w:rPr>
      </w:pPr>
    </w:p>
    <w:p>
      <w:pPr>
        <w:jc w:val="right"/>
        <w:rPr>
          <w:rFonts w:ascii="Times New Roman" w:hAnsi="Times New Roman" w:eastAsia="仿宋_GB2312" w:cs="Times New Roman"/>
          <w:vanish/>
          <w:sz w:val="32"/>
          <w:szCs w:val="32"/>
        </w:rPr>
      </w:pPr>
    </w:p>
    <w:p>
      <w:pPr>
        <w:rPr>
          <w:rFonts w:ascii="Times New Roman" w:hAnsi="Times New Roman" w:eastAsia="仿宋_GB2312" w:cs="Times New Roman"/>
          <w:vanish/>
          <w:sz w:val="32"/>
          <w:szCs w:val="32"/>
        </w:rPr>
      </w:pPr>
    </w:p>
    <w:p>
      <w:pPr>
        <w:rPr>
          <w:rFonts w:ascii="Times New Roman" w:hAnsi="Times New Roman" w:eastAsia="仿宋_GB2312" w:cs="Times New Roman"/>
          <w:vanish/>
          <w:sz w:val="32"/>
          <w:szCs w:val="32"/>
        </w:rPr>
      </w:pPr>
    </w:p>
    <w:p>
      <w:pPr>
        <w:rPr>
          <w:rFonts w:ascii="Times New Roman" w:hAnsi="Times New Roman" w:eastAsia="仿宋_GB2312" w:cs="Times New Roman"/>
          <w:vanish/>
          <w:sz w:val="32"/>
          <w:szCs w:val="32"/>
        </w:rPr>
      </w:pPr>
    </w:p>
    <w:p>
      <w:pPr>
        <w:snapToGrid w:val="0"/>
        <w:spacing w:line="15" w:lineRule="auto"/>
        <w:rPr>
          <w:rFonts w:ascii="Times New Roman" w:hAnsi="Times New Roman" w:eastAsia="仿宋_GB2312" w:cs="Times New Roman"/>
          <w:vanish/>
          <w:sz w:val="32"/>
          <w:szCs w:val="32"/>
        </w:rPr>
      </w:pPr>
    </w:p>
    <w:p>
      <w:pPr>
        <w:rPr>
          <w:rFonts w:hint="eastAsia" w:ascii="Times New Roman" w:hAnsi="Times New Roman" w:eastAsia="仿宋_GB2312" w:cs="Times New Roman"/>
          <w:vanish/>
          <w:sz w:val="32"/>
          <w:szCs w:val="3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jc w:val="right"/>
        <w:rPr>
          <w:rFonts w:eastAsia="宋体" w:cs="Times New Roman"/>
          <w:vanish/>
          <w:sz w:val="21"/>
          <w:szCs w:val="22"/>
        </w:rPr>
      </w:pPr>
      <w:bookmarkStart w:id="0" w:name="公章"/>
      <w:bookmarkEnd w:id="0"/>
    </w:p>
    <w:p>
      <w:pPr>
        <w:rPr>
          <w:rFonts w:eastAsia="宋体" w:cs="Times New Roman"/>
          <w:vanish/>
          <w:sz w:val="21"/>
          <w:szCs w:val="22"/>
        </w:rPr>
      </w:pPr>
    </w:p>
    <w:p>
      <w:pPr>
        <w:rPr>
          <w:rFonts w:eastAsia="宋体" w:cs="Times New Roman"/>
          <w:vanish/>
          <w:sz w:val="21"/>
          <w:szCs w:val="22"/>
        </w:rPr>
      </w:pPr>
    </w:p>
    <w:p>
      <w:pPr>
        <w:rPr>
          <w:rFonts w:eastAsia="宋体" w:cs="Times New Roman"/>
          <w:vanish/>
          <w:sz w:val="21"/>
          <w:szCs w:val="22"/>
        </w:rPr>
      </w:pPr>
    </w:p>
    <w:p>
      <w:pPr>
        <w:rPr>
          <w:rFonts w:ascii="方正仿宋_GBK" w:eastAsia="方正仿宋_GBK" w:cs="Times New Roman"/>
          <w:vanish/>
          <w:sz w:val="21"/>
          <w:szCs w:val="22"/>
        </w:rPr>
      </w:pPr>
    </w:p>
    <w:p>
      <w:pPr>
        <w:rPr>
          <w:rFonts w:eastAsia="宋体" w:cs="Times New Roman"/>
          <w:vanish/>
          <w:sz w:val="21"/>
          <w:szCs w:val="24"/>
        </w:rPr>
      </w:pPr>
    </w:p>
    <w:p>
      <w:pPr>
        <w:rPr>
          <w:vanish/>
        </w:rPr>
      </w:pPr>
    </w:p>
    <w:p>
      <w:pPr>
        <w:rPr>
          <w:vanish/>
        </w:rPr>
      </w:pPr>
    </w:p>
    <w:p>
      <w:pPr>
        <w:rPr>
          <w:vanish/>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pStyle w:val="3"/>
        <w:snapToGrid w:val="0"/>
        <w:spacing w:line="144" w:lineRule="auto"/>
        <w:rPr>
          <w:rFonts w:eastAsia="方正仿宋_GBK" w:cs="方正仿宋_GBK"/>
          <w:vanish/>
          <w:sz w:val="32"/>
        </w:rPr>
      </w:pPr>
    </w:p>
    <w:p>
      <w:pPr>
        <w:rPr>
          <w:vanish/>
        </w:rPr>
      </w:pPr>
    </w:p>
    <w:p>
      <w:pPr>
        <w:rPr>
          <w:vanish/>
        </w:rPr>
      </w:pPr>
    </w:p>
    <w:p>
      <w:pPr>
        <w:rPr>
          <w:vanish/>
        </w:rPr>
      </w:pPr>
    </w:p>
    <w:p>
      <w:pPr>
        <w:rPr>
          <w:vanish/>
        </w:rPr>
      </w:pPr>
    </w:p>
    <w:p>
      <w:pPr>
        <w:rPr>
          <w:vanish/>
        </w:rPr>
      </w:pPr>
    </w:p>
    <w:sectPr>
      <w:pgSz w:w="16838" w:h="11906" w:orient="landscape"/>
      <w:pgMar w:top="1587" w:right="1962" w:bottom="1474" w:left="1848" w:header="851" w:footer="992" w:gutter="0"/>
      <w:pgNumType w:fmt="numberInDash"/>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Lines="100"/>
      <w:jc w:val="right"/>
    </w:pPr>
    <w: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3011805</wp:posOffset>
              </wp:positionV>
              <wp:extent cx="278765"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78765" cy="1828800"/>
                      </a:xfrm>
                      <a:prstGeom prst="rect">
                        <a:avLst/>
                      </a:prstGeom>
                      <a:noFill/>
                      <a:ln w="6350">
                        <a:noFill/>
                      </a:ln>
                      <a:effectLst/>
                    </wps:spPr>
                    <wps:txbx>
                      <w:txbxContent>
                        <w:p>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237.15pt;height:144pt;width:21.95pt;mso-position-horizontal-relative:margin;z-index:251660288;mso-width-relative:page;mso-height-relative:page;" filled="f" stroked="f" coordsize="21600,21600" o:gfxdata="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&#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tMqEw1wAAAAcBAAAPAAAAAAAAAAEAIAAAACIAAABk&#10;cnMvZG93bnJldi54bWxQSwECFAAUAAAACACHTuJAXgHWTkACAABwBAAADgAAAAAAAAABACAAAAAm&#10;AQAAZHJzL2Uyb0RvYy54bWxQSwUGAAAAAAYABgBZAQAA2AUAAAAA&#10;">
              <v:fill on="f" focussize="0,0"/>
              <v:stroke on="f" weight="0.5pt"/>
              <v:imagedata o:title=""/>
              <o:lock v:ext="edit" aspectratio="f"/>
              <v:textbox inset="0mm,0mm,0mm,0mm" style="mso-fit-shape-to-text:t;">
                <w:txbxContent>
                  <w:p>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r>
      <w:rPr>
        <w:rFonts w:ascii="宋体" w:hAnsi="宋体" w:cs="宋体"/>
        <w:b/>
        <w:bCs/>
        <w:color w:val="005192"/>
        <w:sz w:val="28"/>
        <w:szCs w:val="44"/>
        <w:lang w:val="en-US"/>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136525</wp:posOffset>
              </wp:positionV>
              <wp:extent cx="5616575" cy="1905"/>
              <wp:effectExtent l="0" t="10795" r="6985" b="17780"/>
              <wp:wrapNone/>
              <wp:docPr id="9" name="直接连接符 9"/>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1.2pt;margin-top:10.75pt;height:0.15pt;width:442.25pt;z-index:251661312;mso-width-relative:page;mso-height-relative:page;" filled="f" stroked="t" coordsize="21600,21600" o:gfxdata="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F&#10;U66U1AAAAAcBAAAPAAAAAAAAAAEAIAAAACIAAABkcnMvZG93bnJldi54bWxQSwECFAAUAAAACACH&#10;TuJAjNpwPu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ascii="宋体" w:hAnsi="宋体" w:cs="宋体"/>
        <w:b/>
        <w:bCs/>
        <w:color w:val="005192"/>
        <w:sz w:val="28"/>
        <w:szCs w:val="44"/>
        <w:lang w:val="en-US"/>
      </w:rPr>
      <w:t>重庆市医疗保障局发布</w: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- 4 -</w:t>
                          </w:r>
                          <w:r>
                            <w:rPr>
                              <w:rFonts w:hint="eastAsia" w:ascii="宋体" w:hAnsi="宋体" w:eastAsia="宋体" w:cs="宋体"/>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- 4 -</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spacing w:beforeLines="150"/>
      <w:jc w:val="left"/>
      <w:rPr>
        <w:rFonts w:hint="eastAsia" w:ascii="宋体" w:hAnsi="宋体" w:cs="宋体"/>
        <w:b/>
        <w:bCs/>
        <w:color w:val="005192"/>
        <w:sz w:val="32"/>
        <w:szCs w:val="32"/>
        <w:lang w:val="en-US"/>
      </w:rPr>
    </w:pPr>
    <w:r>
      <w:rPr>
        <w:rFonts w:ascii="方正仿宋_GBK" w:hAnsi="方正仿宋_GBK" w:eastAsia="方正仿宋_GBK" w:cs="方正仿宋_GBK"/>
        <w:b/>
        <w:bCs/>
        <w:color w:val="000000" w:themeColor="text1"/>
        <w:sz w:val="3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675005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0" y="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6pt;margin-top:53.15pt;height:0pt;width:442.55pt;z-index:251659264;mso-width-relative:page;mso-height-relative:page;" filled="f" stroked="t" coordsize="21600,21600" o:gfxdata="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6xMIdIA&#10;AAAJAQAADwAAAAAAAAABACAAAAAiAAAAZHJzL2Rvd25yZXYueG1sUEsBAhQAFAAAAAgAh07iQLOJ&#10;ui7sAQAAwAMAAA4AAAAAAAAAAQAgAAAAIQEAAGRycy9lMm9Eb2MueG1sUEsFBgAAAAAGAAYAWQEA&#10;AH8FAAAAAA==&#10;">
              <v:fill on="f" focussize="0,0"/>
              <v:stroke weight="1.75pt" color="#005192" miterlimit="8" joinstyle="miter"/>
              <v:imagedata o:title=""/>
              <o:lock v:ext="edit" aspectratio="f"/>
            </v:line>
          </w:pict>
        </mc:Fallback>
      </mc:AlternateContent>
    </w:r>
    <w:r>
      <w:rPr>
        <w:rFonts w:hint="eastAsia" w:ascii="宋体" w:hAnsi="宋体" w:cs="宋体"/>
        <w:b/>
        <w:bCs/>
        <w:color w:val="005192"/>
        <w:sz w:val="32"/>
        <w:lang w:val="en-US"/>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lang w:val="en-US"/>
      </w:rPr>
      <w:t>重庆市医疗保障局</w:t>
    </w:r>
    <w:r>
      <w:rPr>
        <w:rFonts w:hint="eastAsia" w:ascii="宋体" w:hAnsi="宋体" w:cs="宋体"/>
        <w:b/>
        <w:bCs/>
        <w:color w:val="005192"/>
        <w:sz w:val="32"/>
        <w:szCs w:val="32"/>
        <w:lang w:val="en-US"/>
      </w:rPr>
      <w:t>规范性文件</w:t>
    </w:r>
  </w:p>
  <w:p>
    <w:pPr>
      <w:pStyle w:val="7"/>
      <w:keepNext w:val="0"/>
      <w:keepLines w:val="0"/>
      <w:pageBreakBefore w:val="0"/>
      <w:widowControl w:val="0"/>
      <w:pBdr>
        <w:bottom w:val="none" w:color="auto" w:sz="0" w:space="0"/>
      </w:pBdr>
      <w:kinsoku/>
      <w:wordWrap/>
      <w:overflowPunct/>
      <w:topLinePunct w:val="0"/>
      <w:autoSpaceDE/>
      <w:autoSpaceDN/>
      <w:bidi w:val="0"/>
      <w:adjustRightInd/>
      <w:snapToGrid w:val="0"/>
      <w:jc w:val="left"/>
      <w:textAlignment w:val="auto"/>
      <w:rPr>
        <w:rFonts w:hint="eastAsia" w:ascii="宋体" w:hAnsi="宋体" w:cs="宋体"/>
        <w:b/>
        <w:bCs/>
        <w:color w:val="005192"/>
        <w:sz w:val="32"/>
        <w:szCs w:val="3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64"/>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BD59F1"/>
    <w:rsid w:val="001B29FD"/>
    <w:rsid w:val="001E62AC"/>
    <w:rsid w:val="00256583"/>
    <w:rsid w:val="00287718"/>
    <w:rsid w:val="002958C0"/>
    <w:rsid w:val="00336BD7"/>
    <w:rsid w:val="004375A7"/>
    <w:rsid w:val="00465ED9"/>
    <w:rsid w:val="004F3710"/>
    <w:rsid w:val="006236DB"/>
    <w:rsid w:val="006251EB"/>
    <w:rsid w:val="00627C57"/>
    <w:rsid w:val="006761A9"/>
    <w:rsid w:val="006C28A5"/>
    <w:rsid w:val="006C716A"/>
    <w:rsid w:val="00800B09"/>
    <w:rsid w:val="008A1FBB"/>
    <w:rsid w:val="009569E5"/>
    <w:rsid w:val="00A8021B"/>
    <w:rsid w:val="00BB0F49"/>
    <w:rsid w:val="00BD59F1"/>
    <w:rsid w:val="00C02CA9"/>
    <w:rsid w:val="00C05E09"/>
    <w:rsid w:val="00D822F4"/>
    <w:rsid w:val="00E10AF5"/>
    <w:rsid w:val="00E95DD5"/>
    <w:rsid w:val="00E97256"/>
    <w:rsid w:val="00EC1B42"/>
    <w:rsid w:val="00F65B11"/>
    <w:rsid w:val="00F713B4"/>
    <w:rsid w:val="017161EE"/>
    <w:rsid w:val="0373439E"/>
    <w:rsid w:val="05E13F99"/>
    <w:rsid w:val="06107982"/>
    <w:rsid w:val="069B5865"/>
    <w:rsid w:val="08FE7C34"/>
    <w:rsid w:val="09013BBB"/>
    <w:rsid w:val="09C724A7"/>
    <w:rsid w:val="0B195B80"/>
    <w:rsid w:val="14343F9C"/>
    <w:rsid w:val="169C21F2"/>
    <w:rsid w:val="16D81DB6"/>
    <w:rsid w:val="174775C1"/>
    <w:rsid w:val="19F26BB1"/>
    <w:rsid w:val="1A7754F8"/>
    <w:rsid w:val="1B0753E2"/>
    <w:rsid w:val="1B4E30E0"/>
    <w:rsid w:val="1C03787B"/>
    <w:rsid w:val="1F66431E"/>
    <w:rsid w:val="1F6B6086"/>
    <w:rsid w:val="1FF2314D"/>
    <w:rsid w:val="21827243"/>
    <w:rsid w:val="22954095"/>
    <w:rsid w:val="250948EB"/>
    <w:rsid w:val="261C1009"/>
    <w:rsid w:val="26FE3319"/>
    <w:rsid w:val="27851AC3"/>
    <w:rsid w:val="2B1D7252"/>
    <w:rsid w:val="2B372E74"/>
    <w:rsid w:val="2BC52E85"/>
    <w:rsid w:val="2C0679BF"/>
    <w:rsid w:val="2DEC6BE5"/>
    <w:rsid w:val="2E593E6B"/>
    <w:rsid w:val="2FBD190A"/>
    <w:rsid w:val="30B5753D"/>
    <w:rsid w:val="314372AE"/>
    <w:rsid w:val="31667E06"/>
    <w:rsid w:val="324E1D58"/>
    <w:rsid w:val="32DA5548"/>
    <w:rsid w:val="335B486B"/>
    <w:rsid w:val="36806076"/>
    <w:rsid w:val="369E4EAA"/>
    <w:rsid w:val="3CC11305"/>
    <w:rsid w:val="3E8C7CCF"/>
    <w:rsid w:val="3FBA347C"/>
    <w:rsid w:val="40CB1594"/>
    <w:rsid w:val="41A3262E"/>
    <w:rsid w:val="43350544"/>
    <w:rsid w:val="43603FA0"/>
    <w:rsid w:val="43C05462"/>
    <w:rsid w:val="44897362"/>
    <w:rsid w:val="44BE37CF"/>
    <w:rsid w:val="45A537EA"/>
    <w:rsid w:val="464D005F"/>
    <w:rsid w:val="48720A8D"/>
    <w:rsid w:val="4A280732"/>
    <w:rsid w:val="4A9F2515"/>
    <w:rsid w:val="4D3B4FB8"/>
    <w:rsid w:val="4E5F467B"/>
    <w:rsid w:val="4EF53B10"/>
    <w:rsid w:val="53AD1103"/>
    <w:rsid w:val="54E36229"/>
    <w:rsid w:val="554B02CC"/>
    <w:rsid w:val="580C22FF"/>
    <w:rsid w:val="58725B91"/>
    <w:rsid w:val="589B50B4"/>
    <w:rsid w:val="59312802"/>
    <w:rsid w:val="5BEE4C02"/>
    <w:rsid w:val="5BFF151F"/>
    <w:rsid w:val="5F78236B"/>
    <w:rsid w:val="602461BE"/>
    <w:rsid w:val="6314426C"/>
    <w:rsid w:val="67951754"/>
    <w:rsid w:val="699A3F3C"/>
    <w:rsid w:val="6A9A2A7D"/>
    <w:rsid w:val="6CDF7866"/>
    <w:rsid w:val="6CF5407A"/>
    <w:rsid w:val="6FAC2205"/>
    <w:rsid w:val="6FF116A5"/>
    <w:rsid w:val="7874644F"/>
    <w:rsid w:val="791E0F5E"/>
    <w:rsid w:val="7A913BC9"/>
    <w:rsid w:val="7A9755C4"/>
    <w:rsid w:val="7B1A16F5"/>
    <w:rsid w:val="7CCA0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100" w:beforeAutospacing="1" w:after="100" w:afterAutospacing="1"/>
      <w:outlineLvl w:val="0"/>
    </w:pPr>
    <w:rPr>
      <w:rFonts w:hint="eastAsia" w:ascii="宋体" w:hAnsi="宋体"/>
      <w:b/>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link w:val="13"/>
    <w:semiHidden/>
    <w:unhideWhenUsed/>
    <w:qFormat/>
    <w:uiPriority w:val="99"/>
    <w:pPr>
      <w:jc w:val="center"/>
    </w:pPr>
    <w:rPr>
      <w:lang w:val="zh-CN"/>
    </w:rPr>
  </w:style>
  <w:style w:type="paragraph" w:customStyle="1" w:styleId="4">
    <w:name w:val="默认"/>
    <w:qFormat/>
    <w:uiPriority w:val="0"/>
    <w:rPr>
      <w:rFonts w:ascii="Helvetica" w:hAnsi="Helvetica" w:eastAsia="Helvetica" w:cs="Helvetica"/>
      <w:color w:val="000000"/>
      <w:sz w:val="22"/>
      <w:szCs w:val="22"/>
      <w:lang w:val="en-US" w:eastAsia="zh-CN" w:bidi="ar-SA"/>
    </w:rPr>
  </w:style>
  <w:style w:type="paragraph" w:styleId="5">
    <w:name w:val="Balloon Text"/>
    <w:basedOn w:val="1"/>
    <w:link w:val="14"/>
    <w:semiHidden/>
    <w:unhideWhenUsed/>
    <w:qFormat/>
    <w:uiPriority w:val="99"/>
    <w:rPr>
      <w:sz w:val="18"/>
      <w:szCs w:val="18"/>
    </w:rPr>
  </w:style>
  <w:style w:type="paragraph" w:styleId="6">
    <w:name w:val="footer"/>
    <w:basedOn w:val="1"/>
    <w:link w:val="11"/>
    <w:semiHidden/>
    <w:unhideWhenUsed/>
    <w:qFormat/>
    <w:uiPriority w:val="99"/>
    <w:pPr>
      <w:tabs>
        <w:tab w:val="center" w:pos="4153"/>
        <w:tab w:val="right" w:pos="8306"/>
      </w:tabs>
      <w:snapToGrid w:val="0"/>
      <w:jc w:val="left"/>
    </w:pPr>
    <w:rPr>
      <w:kern w:val="0"/>
      <w:sz w:val="18"/>
      <w:szCs w:val="18"/>
      <w:lang w:val="zh-CN"/>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kern w:val="0"/>
      <w:sz w:val="18"/>
      <w:szCs w:val="18"/>
      <w:lang w:val="zh-CN"/>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正文文本 Char"/>
    <w:semiHidden/>
    <w:qFormat/>
    <w:uiPriority w:val="99"/>
    <w:rPr>
      <w:kern w:val="2"/>
      <w:sz w:val="21"/>
      <w:szCs w:val="22"/>
    </w:rPr>
  </w:style>
  <w:style w:type="character" w:customStyle="1" w:styleId="13">
    <w:name w:val="正文文本 Char1"/>
    <w:link w:val="3"/>
    <w:qFormat/>
    <w:uiPriority w:val="0"/>
    <w:rPr>
      <w:rFonts w:ascii="Times New Roman" w:hAnsi="Times New Roman" w:eastAsia="仿宋_GB2312"/>
      <w:b/>
      <w:color w:val="FF0000"/>
      <w:kern w:val="2"/>
      <w:sz w:val="44"/>
      <w:szCs w:val="32"/>
      <w:lang w:val="zh-CN" w:eastAsia="zh-CN"/>
    </w:rPr>
  </w:style>
  <w:style w:type="character" w:customStyle="1" w:styleId="14">
    <w:name w:val="批注框文本 Char"/>
    <w:basedOn w:val="9"/>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1</Pages>
  <Words>146</Words>
  <Characters>835</Characters>
  <Lines>6</Lines>
  <Paragraphs>1</Paragraphs>
  <TotalTime>1</TotalTime>
  <ScaleCrop>false</ScaleCrop>
  <LinksUpToDate>false</LinksUpToDate>
  <CharactersWithSpaces>980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2021-12-02T08:42:00Z</dcterms:created>
  <dc:creator>赖茜</dc:creator>
  <cp:lastModifiedBy>胡娟</cp:lastModifiedBy>
  <cp:lastPrinted>2023-03-10T07:08:00Z</cp:lastPrinted>
  <dcterms:modified xsi:type="dcterms:W3CDTF">2026-10-09T02:59:30Z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77DF797A9B3546C8BA6B9700D55B649F</vt:lpwstr>
  </property>
</Properties>
</file>