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59A8E4">
      <w:pPr>
        <w:keepNext w:val="0"/>
        <w:keepLines w:val="0"/>
        <w:widowControl w:val="0"/>
        <w:suppressLineNumbers w:val="0"/>
        <w:autoSpaceDE w:val="0"/>
        <w:autoSpaceDN/>
        <w:spacing w:before="0" w:beforeAutospacing="0" w:after="0" w:afterAutospacing="0" w:line="540" w:lineRule="exact"/>
        <w:ind w:left="0" w:right="0"/>
        <w:jc w:val="center"/>
        <w:rPr>
          <w:rFonts w:hint="eastAsia" w:ascii="方正小标宋_GBK" w:hAnsi="方正小标宋_GBK" w:eastAsia="方正小标宋_GBK" w:cs="方正小标宋_GBK"/>
          <w:kern w:val="2"/>
          <w:sz w:val="44"/>
          <w:szCs w:val="44"/>
        </w:rPr>
      </w:pPr>
      <w:bookmarkStart w:id="1" w:name="_GoBack"/>
      <w:bookmarkEnd w:id="1"/>
      <w:r>
        <w:rPr>
          <w:rFonts w:hint="eastAsia" w:ascii="方正小标宋_GBK" w:hAnsi="方正小标宋_GBK" w:eastAsia="方正小标宋_GBK" w:cs="方正小标宋_GBK"/>
          <w:kern w:val="2"/>
          <w:sz w:val="44"/>
          <w:szCs w:val="44"/>
          <w:lang w:val="en-US" w:eastAsia="zh-CN" w:bidi="ar"/>
        </w:rPr>
        <w:t>关于进一步加强职工基本医疗保险个人账户使用和定点零售药店监督管理的通知</w:t>
      </w:r>
    </w:p>
    <w:p w14:paraId="78DC82A1">
      <w:pPr>
        <w:keepNext w:val="0"/>
        <w:keepLines w:val="0"/>
        <w:widowControl w:val="0"/>
        <w:suppressLineNumbers w:val="0"/>
        <w:autoSpaceDE w:val="0"/>
        <w:autoSpaceDN/>
        <w:spacing w:before="0" w:beforeAutospacing="0" w:after="0" w:afterAutospacing="0" w:line="540" w:lineRule="exact"/>
        <w:ind w:left="0" w:right="0"/>
        <w:jc w:val="center"/>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（征求意见稿）</w:t>
      </w:r>
    </w:p>
    <w:p w14:paraId="5A208F2B">
      <w:pPr>
        <w:keepNext w:val="0"/>
        <w:keepLines w:val="0"/>
        <w:widowControl w:val="0"/>
        <w:suppressLineNumbers w:val="0"/>
        <w:autoSpaceDE w:val="0"/>
        <w:autoSpaceDN/>
        <w:spacing w:before="0" w:beforeAutospacing="0" w:after="0" w:afterAutospacing="0" w:line="540" w:lineRule="exact"/>
        <w:ind w:left="0" w:right="0"/>
        <w:jc w:val="both"/>
        <w:rPr>
          <w:rFonts w:hint="default" w:ascii="仿宋_GB2312" w:hAnsi="Times New Roman" w:eastAsia="仿宋_GB2312" w:cs="仿宋_GB2312"/>
          <w:kern w:val="2"/>
          <w:sz w:val="32"/>
          <w:szCs w:val="32"/>
          <w:lang w:val="en-US" w:eastAsia="zh-CN" w:bidi="ar"/>
        </w:rPr>
      </w:pPr>
    </w:p>
    <w:p w14:paraId="002A42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方正仿宋_GBK" w:hAnsi="方正仿宋_GBK" w:eastAsia="方正仿宋_GBK" w:cs="方正仿宋_GBK"/>
          <w:sz w:val="32"/>
          <w:szCs w:val="32"/>
          <w:lang w:val="en-US" w:eastAsia="zh-CN"/>
        </w:rPr>
      </w:pPr>
      <w:r>
        <w:rPr>
          <w:rFonts w:hint="eastAsia"/>
          <w:lang w:val="en-US" w:eastAsia="zh-CN"/>
        </w:rPr>
        <w:t xml:space="preserve">  </w:t>
      </w:r>
      <w:r>
        <w:rPr>
          <w:rFonts w:hint="eastAsia" w:ascii="方正仿宋_GBK" w:hAnsi="方正仿宋_GBK" w:eastAsia="方正仿宋_GBK" w:cs="方正仿宋_GBK"/>
          <w:sz w:val="32"/>
          <w:szCs w:val="32"/>
          <w:lang w:val="en-US" w:eastAsia="zh-CN"/>
        </w:rPr>
        <w:t xml:space="preserve">   为贯彻落实《国家医保局办公室 财政部办公厅关于进一步加强定点零售药店职工基本医疗保险个人账户使用监督管理的通知》（</w:t>
      </w:r>
      <w:r>
        <w:rPr>
          <w:rFonts w:hint="eastAsia" w:ascii="仿宋_GB2312" w:hAnsi="Times New Roman" w:eastAsia="仿宋_GB2312" w:cs="仿宋_GB2312"/>
          <w:kern w:val="2"/>
          <w:sz w:val="32"/>
          <w:szCs w:val="32"/>
          <w:lang w:val="en-US" w:eastAsia="zh-CN" w:bidi="ar"/>
        </w:rPr>
        <w:t>医保办发</w:t>
      </w:r>
      <w:r>
        <w:rPr>
          <w:rFonts w:hint="default" w:ascii="仿宋_GB2312" w:hAnsi="Times New Roman" w:eastAsia="仿宋_GB2312" w:cs="仿宋_GB2312"/>
          <w:kern w:val="2"/>
          <w:sz w:val="32"/>
          <w:szCs w:val="32"/>
          <w:lang w:val="en-US" w:eastAsia="zh-CN" w:bidi="ar"/>
        </w:rPr>
        <w:t>〔</w:t>
      </w:r>
      <w:bookmarkStart w:id="0" w:name="年"/>
      <w:r>
        <w:rPr>
          <w:rFonts w:hint="default" w:ascii="仿宋_GB2312" w:hAnsi="Times New Roman" w:eastAsia="仿宋_GB2312" w:cs="仿宋_GB2312"/>
          <w:kern w:val="2"/>
          <w:sz w:val="32"/>
          <w:szCs w:val="32"/>
          <w:lang w:val="en-US" w:eastAsia="zh-CN" w:bidi="ar"/>
        </w:rPr>
        <w:t>202</w:t>
      </w:r>
      <w:bookmarkEnd w:id="0"/>
      <w:r>
        <w:rPr>
          <w:rFonts w:hint="eastAsia" w:ascii="仿宋_GB2312" w:hAnsi="Times New Roman" w:eastAsia="仿宋_GB2312" w:cs="仿宋_GB2312"/>
          <w:kern w:val="2"/>
          <w:sz w:val="32"/>
          <w:szCs w:val="32"/>
          <w:lang w:val="en-US" w:eastAsia="zh-CN" w:bidi="ar"/>
        </w:rPr>
        <w:t>6</w:t>
      </w:r>
      <w:r>
        <w:rPr>
          <w:rFonts w:hint="default" w:ascii="仿宋_GB2312" w:hAnsi="Times New Roman" w:eastAsia="仿宋_GB2312" w:cs="仿宋_GB2312"/>
          <w:kern w:val="2"/>
          <w:sz w:val="32"/>
          <w:szCs w:val="32"/>
          <w:lang w:val="en-US" w:eastAsia="zh-CN" w:bidi="ar"/>
        </w:rPr>
        <w:t>〕</w:t>
      </w:r>
      <w:r>
        <w:rPr>
          <w:rFonts w:hint="eastAsia" w:ascii="仿宋_GB2312" w:hAnsi="Times New Roman" w:eastAsia="仿宋_GB2312" w:cs="仿宋_GB2312"/>
          <w:kern w:val="2"/>
          <w:sz w:val="32"/>
          <w:szCs w:val="32"/>
          <w:lang w:val="en-US" w:eastAsia="zh-CN" w:bidi="ar"/>
        </w:rPr>
        <w:t>7</w:t>
      </w:r>
      <w:r>
        <w:rPr>
          <w:rFonts w:hint="default" w:ascii="仿宋_GB2312" w:hAnsi="Times New Roman" w:eastAsia="仿宋_GB2312" w:cs="仿宋_GB2312"/>
          <w:kern w:val="2"/>
          <w:sz w:val="32"/>
          <w:szCs w:val="32"/>
          <w:lang w:val="en-US" w:eastAsia="zh-CN" w:bidi="ar"/>
        </w:rPr>
        <w:t>号</w:t>
      </w:r>
      <w:r>
        <w:rPr>
          <w:rFonts w:hint="eastAsia" w:ascii="方正仿宋_GBK" w:hAnsi="方正仿宋_GBK" w:eastAsia="方正仿宋_GBK" w:cs="方正仿宋_GBK"/>
          <w:sz w:val="32"/>
          <w:szCs w:val="32"/>
          <w:lang w:val="en-US" w:eastAsia="zh-CN"/>
        </w:rPr>
        <w:t>）文件要求，进一步规范我省职工医保个人账户使用和定点零售药店监督管理工作，现就有关事项通知如下：</w:t>
      </w:r>
    </w:p>
    <w:p w14:paraId="6B3626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一、坚持“保基本”定位，规范个人账户支出</w:t>
      </w:r>
    </w:p>
    <w:p w14:paraId="11A723FF">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lang w:val="en-US" w:eastAsia="zh-CN" w:bidi="ar"/>
        </w:rPr>
        <w:t>职工医保个人账户是医保基金重要组成部分，各级医保部门要坚守“保基本”定位，确保个人账户使用规范有序。在原有共济及支付范围基础上，拓宽城镇从业人员基本医疗保险个人账户共济及支付范围，可支付本人及参保近亲属在定点医疗机构接种流感疫苗费用和注射服务费，以及0-6周岁参保儿童在定点医疗机构接种符合规定的非免疫规划疫苗费用和注射服务费。各市县医保部门应当严格执行，防止将非基本医保范围内的不合理费用纳入个人账户支出。</w:t>
      </w:r>
    </w:p>
    <w:p w14:paraId="7536E937">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强化定点零售药店管理，落实支付范围管理清单制度</w:t>
      </w:r>
    </w:p>
    <w:p w14:paraId="7DCC4C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（一）建立支付范围管理清单制度，统一全省支付范围</w:t>
      </w:r>
    </w:p>
    <w:p w14:paraId="492E20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省坚持“保基本”的功能定位，立足省情，统筹考虑群众购药需求和医药技术发展，制定了全省统一的定点零售药店职工医保个人账户支付范围管理清单制度。清单分为两类：一是准予支付类（即白名单），坚持与基本保障相衔接的原则，白名单内的商品，个人账户在定点零售药店予以支付；二是不予支付类（即负面清单），对无实际医疗价值或实际医疗价值较低、以生活功能为主的品类，纳入负面清单管理。不在白名单内的商品，医保个人账户依规不予支付。</w:t>
      </w:r>
    </w:p>
    <w:p w14:paraId="021B42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定点零售药店使用医保个人账户结算时，应在《营业执照》《药品经营许可证》《第二类医疗器械经营备案凭证》《医疗器械经营许可证》等核准的经营范围内开展销售，并自觉遵守医疗保障、卫生健康、中医药、市场监管、药品监管、公安、财政、税务、金融监管、商务等有关部门的政策和管理要求。不符合上述要求的，医保个人账户不予支付。具体品类及判定标准详见附件。</w:t>
      </w:r>
    </w:p>
    <w:p w14:paraId="7B4D99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各市县医保部门应当严格对照执行，不得自行增补、删减、调整支付品类。省医疗保障局将紧跟国家政策导向，兼顾参保群众合理购药需求，在坚守保障底线基础上适时对支付范围管理清单实施动态调整。</w:t>
      </w:r>
    </w:p>
    <w:p w14:paraId="4BD16F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（二）纳入协议管理，压实定点药店责任</w:t>
      </w:r>
    </w:p>
    <w:p w14:paraId="481CC1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省医疗保险服务中心负责统一制定支付范围管理清单补充协议文本，各市县医保经办机构要及时与辖区内定点零售药店签订补充协议，将支付范围管理清单及有关规定纳入协议管理范畴。</w:t>
      </w:r>
    </w:p>
    <w:p w14:paraId="46FCF7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定点零售药店须落实经营场所分类分区管理，规范设置统一医保标识；完整留存购药处方、销售台账、视频监控并按协议约定年限留存备查。严禁采取夸大宣传、营销诱导等方式引导参保人员使用医保个人账户购买白名单外产品；严禁拆分销售、捆绑搭售非白名单产品；严禁对个人账户结算参保人员设置价格歧视、实施不公平定价。</w:t>
      </w:r>
    </w:p>
    <w:p w14:paraId="125A3C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（三）落实贯标工作，完善医保信息编码</w:t>
      </w:r>
    </w:p>
    <w:p w14:paraId="09FDC5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各定点零售药店应当严格按照国家医保信息业务编码标准，及时完成药品、医用耗材等各类产品的编码对照和维护工作，确保店内销售产品编码与医保信息系统有效对接。医保部门应当加强贯标工作的指导和督促，对贯标不到位的药店及时督促整改。企业作为国家医保信息业务编码相关信息申报的第一责任人，应当确保填报产品信息的真实性、准确性与合规性。</w:t>
      </w:r>
    </w:p>
    <w:p w14:paraId="293D6E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三、强化基金监管，严查违规使用行为</w:t>
      </w:r>
    </w:p>
    <w:p w14:paraId="331431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 xml:space="preserve">各市县医保部门要强化定点零售药店职工医保个人账户使用全流程监管，依托智能审核、医保大数据等数字化手段，结合日常核查与专项检查，重点查处个人账户列支白名单以外商品、空刷套刷、串换倒卖药品耗材、伪造处方，以及虚假宣传、诱导消费、封顶消费等违规套取医保基金行为。督促指导定点零售药店常态化开展自查自纠，对排查发现的问题立行立改、举一反三，从严规范个人账户使用行为。加强个人账户家庭共济资格与支付范围审核，严禁以虚假承诺变相扩大共济适用边界。持续畅通举报投诉渠道，落实举报奖励制度，引导社会力量共同参与基金监督。对监管排查中发现属于其他部门管辖的问题线索，按规定及时移送处置。 </w:t>
      </w:r>
    </w:p>
    <w:p w14:paraId="7E2365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四、有关工作要求</w:t>
      </w:r>
    </w:p>
    <w:p w14:paraId="35C216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楷体_GBK" w:hAnsi="方正楷体_GBK" w:eastAsia="方正楷体_GBK" w:cs="方正楷体_GBK"/>
          <w:sz w:val="32"/>
          <w:szCs w:val="32"/>
          <w:lang w:val="en-US" w:eastAsia="zh-CN"/>
        </w:rPr>
        <w:t>（一）提高政治站位。</w:t>
      </w:r>
      <w:r>
        <w:rPr>
          <w:rFonts w:hint="eastAsia" w:ascii="方正仿宋_GBK" w:hAnsi="方正仿宋_GBK" w:eastAsia="方正仿宋_GBK" w:cs="方正仿宋_GBK"/>
          <w:sz w:val="32"/>
          <w:szCs w:val="32"/>
          <w:lang w:val="en-US" w:eastAsia="zh-CN"/>
        </w:rPr>
        <w:t>各市县医保部门应当充分认识加强个人账户使用监督管理的重要意义，确保各项任务落到实处。</w:t>
      </w:r>
    </w:p>
    <w:p w14:paraId="557200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楷体_GBK" w:hAnsi="方正楷体_GBK" w:eastAsia="方正楷体_GBK" w:cs="方正楷体_GBK"/>
          <w:sz w:val="32"/>
          <w:szCs w:val="32"/>
          <w:lang w:val="en-US" w:eastAsia="zh-CN"/>
        </w:rPr>
        <w:t>（二）压实工作责任。</w:t>
      </w:r>
      <w:r>
        <w:rPr>
          <w:rFonts w:hint="eastAsia" w:ascii="方正仿宋_GBK" w:hAnsi="方正仿宋_GBK" w:eastAsia="方正仿宋_GBK" w:cs="方正仿宋_GBK"/>
          <w:sz w:val="32"/>
          <w:szCs w:val="32"/>
          <w:lang w:val="en-US" w:eastAsia="zh-CN"/>
        </w:rPr>
        <w:t>省医疗保险服务中心负责制定补充协议文本并指导全省协议签订工作。各市县医保经办机构应当按时完成协议签订任务。</w:t>
      </w:r>
    </w:p>
    <w:p w14:paraId="0E9DAD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楷体_GBK" w:hAnsi="方正楷体_GBK" w:eastAsia="方正楷体_GBK" w:cs="方正楷体_GBK"/>
          <w:sz w:val="32"/>
          <w:szCs w:val="32"/>
          <w:lang w:val="en-US" w:eastAsia="zh-CN"/>
        </w:rPr>
        <w:t>（三）加强协同配合。</w:t>
      </w:r>
      <w:r>
        <w:rPr>
          <w:rFonts w:hint="eastAsia" w:ascii="方正仿宋_GBK" w:hAnsi="方正仿宋_GBK" w:eastAsia="方正仿宋_GBK" w:cs="方正仿宋_GBK"/>
          <w:sz w:val="32"/>
          <w:szCs w:val="32"/>
          <w:lang w:val="en-US" w:eastAsia="zh-CN"/>
        </w:rPr>
        <w:t>各市县医保部门应当加强与财政、市场监管等部门的沟通协调，形成监管合力。</w:t>
      </w:r>
    </w:p>
    <w:p w14:paraId="4C05AE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楷体_GBK" w:hAnsi="方正楷体_GBK" w:eastAsia="方正楷体_GBK" w:cs="方正楷体_GBK"/>
          <w:sz w:val="32"/>
          <w:szCs w:val="32"/>
          <w:lang w:val="en-US" w:eastAsia="zh-CN"/>
        </w:rPr>
        <w:t>（四）强化宣传引导。</w:t>
      </w:r>
      <w:r>
        <w:rPr>
          <w:rFonts w:hint="eastAsia" w:ascii="方正仿宋_GBK" w:hAnsi="方正仿宋_GBK" w:eastAsia="方正仿宋_GBK" w:cs="方正仿宋_GBK"/>
          <w:sz w:val="32"/>
          <w:szCs w:val="32"/>
          <w:lang w:val="en-US" w:eastAsia="zh-CN"/>
        </w:rPr>
        <w:t>做好政策宣传和解读工作，引导定点零售药店规范经营、引导参保人员合理使用个人账户。</w:t>
      </w:r>
    </w:p>
    <w:p w14:paraId="0112DA8B">
      <w:pPr>
        <w:pStyle w:val="2"/>
        <w:keepNext w:val="0"/>
        <w:keepLines w:val="0"/>
        <w:widowControl w:val="0"/>
        <w:suppressLineNumbers w:val="0"/>
        <w:autoSpaceDE w:val="0"/>
        <w:autoSpaceDN/>
        <w:spacing w:before="0" w:beforeAutospacing="0" w:after="0" w:afterAutospacing="0" w:line="540" w:lineRule="exact"/>
        <w:ind w:left="0" w:firstLine="640" w:firstLineChars="200"/>
        <w:rPr>
          <w:rFonts w:hint="eastAsia" w:ascii="方正仿宋_GBK" w:hAnsi="方正仿宋_GBK" w:eastAsia="方正仿宋_GBK" w:cs="方正仿宋_GBK"/>
          <w:b w:val="0"/>
          <w:bCs w:val="0"/>
          <w:kern w:val="2"/>
          <w:sz w:val="32"/>
          <w:szCs w:val="32"/>
          <w:lang w:eastAsia="zh-CN"/>
        </w:rPr>
      </w:pPr>
    </w:p>
    <w:p w14:paraId="7CC6BEDC">
      <w:pPr>
        <w:pStyle w:val="2"/>
        <w:keepNext w:val="0"/>
        <w:keepLines w:val="0"/>
        <w:widowControl w:val="0"/>
        <w:suppressLineNumbers w:val="0"/>
        <w:autoSpaceDE w:val="0"/>
        <w:autoSpaceDN/>
        <w:spacing w:before="0" w:beforeAutospacing="0" w:after="0" w:afterAutospacing="0" w:line="540" w:lineRule="exact"/>
        <w:ind w:left="1598" w:leftChars="304" w:hanging="960" w:hangingChars="300"/>
        <w:rPr>
          <w:rFonts w:hint="eastAsia" w:ascii="方正仿宋_GBK" w:hAnsi="方正仿宋_GBK" w:eastAsia="方正仿宋_GBK" w:cs="方正仿宋_GBK"/>
          <w:b w:val="0"/>
          <w:bCs w:val="0"/>
          <w:w w:val="90"/>
          <w:kern w:val="2"/>
          <w:sz w:val="32"/>
          <w:szCs w:val="32"/>
          <w:lang w:eastAsia="zh-CN"/>
        </w:rPr>
      </w:pPr>
      <w:r>
        <w:rPr>
          <w:rFonts w:hint="eastAsia" w:ascii="方正仿宋_GBK" w:hAnsi="方正仿宋_GBK" w:eastAsia="方正仿宋_GBK" w:cs="方正仿宋_GBK"/>
          <w:b w:val="0"/>
          <w:bCs w:val="0"/>
          <w:kern w:val="2"/>
          <w:sz w:val="32"/>
          <w:szCs w:val="32"/>
          <w:lang w:eastAsia="zh-CN"/>
        </w:rPr>
        <w:t>附件：</w:t>
      </w:r>
      <w:r>
        <w:rPr>
          <w:rFonts w:hint="eastAsia" w:ascii="方正仿宋_GBK" w:hAnsi="方正仿宋_GBK" w:eastAsia="方正仿宋_GBK" w:cs="方正仿宋_GBK"/>
          <w:b w:val="0"/>
          <w:bCs w:val="0"/>
          <w:w w:val="90"/>
          <w:kern w:val="2"/>
          <w:sz w:val="32"/>
          <w:szCs w:val="32"/>
          <w:lang w:eastAsia="zh-CN"/>
        </w:rPr>
        <w:t>海南省定点零售药店职工医保个人账户支付范围管理清单</w:t>
      </w:r>
    </w:p>
    <w:p w14:paraId="145758FB">
      <w:pPr>
        <w:pStyle w:val="2"/>
        <w:keepNext w:val="0"/>
        <w:keepLines w:val="0"/>
        <w:widowControl w:val="0"/>
        <w:suppressLineNumbers w:val="0"/>
        <w:autoSpaceDE w:val="0"/>
        <w:autoSpaceDN/>
        <w:spacing w:before="0" w:beforeAutospacing="0" w:after="0" w:afterAutospacing="0" w:line="540" w:lineRule="exact"/>
        <w:ind w:left="0" w:firstLine="640" w:firstLineChars="200"/>
        <w:rPr>
          <w:rFonts w:hint="default" w:ascii="仿宋_GB2312" w:eastAsia="仿宋_GB2312" w:cs="仿宋_GB2312"/>
          <w:b w:val="0"/>
          <w:kern w:val="2"/>
          <w:sz w:val="32"/>
          <w:szCs w:val="32"/>
        </w:rPr>
      </w:pPr>
    </w:p>
    <w:p w14:paraId="49A567A2">
      <w:pPr>
        <w:pStyle w:val="2"/>
        <w:keepNext w:val="0"/>
        <w:keepLines w:val="0"/>
        <w:widowControl w:val="0"/>
        <w:suppressLineNumbers w:val="0"/>
        <w:autoSpaceDE w:val="0"/>
        <w:autoSpaceDN/>
        <w:spacing w:before="0" w:beforeAutospacing="0" w:after="0" w:afterAutospacing="0" w:line="540" w:lineRule="exact"/>
        <w:ind w:left="0" w:firstLine="640" w:firstLineChars="200"/>
        <w:rPr>
          <w:rFonts w:hint="default" w:ascii="仿宋_GB2312" w:eastAsia="仿宋_GB2312" w:cs="仿宋_GB2312"/>
          <w:b w:val="0"/>
          <w:kern w:val="2"/>
          <w:sz w:val="32"/>
          <w:szCs w:val="32"/>
        </w:rPr>
      </w:pPr>
    </w:p>
    <w:p w14:paraId="25C07E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方正小标宋_GBK">
    <w:altName w:val="微软雅黑"/>
    <w:panose1 w:val="02000000000000000000"/>
    <w:charset w:val="86"/>
    <w:family w:val="auto"/>
    <w:pitch w:val="default"/>
    <w:sig w:usb0="00000001" w:usb1="08000000" w:usb2="00000000" w:usb3="00000000" w:csb0="00040000" w:csb1="00000000"/>
  </w:font>
  <w:font w:name="仿宋_GB2312">
    <w:altName w:val="仿宋"/>
    <w:panose1 w:val="00000000000000000000"/>
    <w:charset w:val="00"/>
    <w:family w:val="auto"/>
    <w:pitch w:val="default"/>
    <w:sig w:usb0="00000000" w:usb1="00000000" w:usb2="00000000" w:usb3="00000000" w:csb0="00040001" w:csb1="00000000"/>
    <w:embedRegular r:id="rId1" w:fontKey="{F9EB2CD6-D361-4AA5-ABD9-9C9471DAFEC4}"/>
  </w:font>
  <w:font w:name="方正仿宋_GBK">
    <w:panose1 w:val="02000000000000000000"/>
    <w:charset w:val="86"/>
    <w:family w:val="auto"/>
    <w:pitch w:val="default"/>
    <w:sig w:usb0="A00002BF" w:usb1="38CF7CFA" w:usb2="00082016" w:usb3="00000000" w:csb0="00040001" w:csb1="00000000"/>
    <w:embedRegular r:id="rId2" w:fontKey="{89882F34-E186-4214-A4AB-72DE3E78CB2C}"/>
  </w:font>
  <w:font w:name="方正黑体_GBK">
    <w:altName w:val="微软雅黑"/>
    <w:panose1 w:val="02000000000000000000"/>
    <w:charset w:val="86"/>
    <w:family w:val="auto"/>
    <w:pitch w:val="default"/>
    <w:sig w:usb0="00000001" w:usb1="08000000" w:usb2="00000000" w:usb3="00000000" w:csb0="00040000" w:csb1="00000000"/>
    <w:embedRegular r:id="rId3" w:fontKey="{3A855C17-080A-48B6-BEA2-5AD4125BE05B}"/>
  </w:font>
  <w:font w:name="方正楷体_GBK">
    <w:altName w:val="微软雅黑"/>
    <w:panose1 w:val="02000000000000000000"/>
    <w:charset w:val="86"/>
    <w:family w:val="auto"/>
    <w:pitch w:val="default"/>
    <w:sig w:usb0="00000001" w:usb1="08000000" w:usb2="00000000" w:usb3="00000000" w:csb0="00040000" w:csb1="00000000"/>
    <w:embedRegular r:id="rId4" w:fontKey="{4D88F613-044D-472F-9D73-73C7DB80F06E}"/>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BA34B6"/>
    <w:multiLevelType w:val="singleLevel"/>
    <w:tmpl w:val="2FBA34B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DBDB5AC"/>
    <w:rsid w:val="0F4C5AA7"/>
    <w:rsid w:val="1ED73EAC"/>
    <w:rsid w:val="23F78F60"/>
    <w:rsid w:val="490E2226"/>
    <w:rsid w:val="557C76DE"/>
    <w:rsid w:val="6A5F507A"/>
    <w:rsid w:val="6D76038F"/>
    <w:rsid w:val="6D7E3244"/>
    <w:rsid w:val="6F6D83AA"/>
    <w:rsid w:val="7AFF498D"/>
    <w:rsid w:val="7EDE2A73"/>
    <w:rsid w:val="7FCB4E9F"/>
    <w:rsid w:val="B1FFE080"/>
    <w:rsid w:val="B7FC80BC"/>
    <w:rsid w:val="BCF881AF"/>
    <w:rsid w:val="BCFF3D10"/>
    <w:rsid w:val="BDFD642B"/>
    <w:rsid w:val="F3DB289F"/>
    <w:rsid w:val="F9F78FE8"/>
    <w:rsid w:val="FBF2FDA0"/>
    <w:rsid w:val="FC9DED79"/>
    <w:rsid w:val="FD6AD102"/>
    <w:rsid w:val="FDBDB5AC"/>
    <w:rsid w:val="FE7BF34B"/>
    <w:rsid w:val="FFCB4964"/>
    <w:rsid w:val="FFDB07E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keepNext/>
      <w:keepLines/>
      <w:widowControl w:val="0"/>
      <w:suppressLineNumbers w:val="0"/>
      <w:spacing w:before="260" w:beforeAutospacing="0" w:after="260" w:afterAutospacing="0" w:line="415" w:lineRule="auto"/>
      <w:jc w:val="both"/>
      <w:outlineLvl w:val="1"/>
    </w:pPr>
    <w:rPr>
      <w:rFonts w:hint="default" w:ascii="Cambria" w:hAnsi="Cambria" w:eastAsia="宋体" w:cs="Times New Roman"/>
      <w:b/>
      <w:kern w:val="2"/>
      <w:sz w:val="32"/>
      <w:szCs w:val="32"/>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Style w:val="3"/>
      <w:tblCellMar>
        <w:top w:w="0" w:type="dxa"/>
        <w:left w:w="108" w:type="dxa"/>
        <w:bottom w:w="0" w:type="dxa"/>
        <w:right w:w="108" w:type="dxa"/>
      </w:tblCellMar>
    </w:tblPr>
  </w:style>
  <w:style w:type="character" w:customStyle="1" w:styleId="5">
    <w:name w:val="10"/>
    <w:basedOn w:val="4"/>
    <w:uiPriority w:val="0"/>
    <w:rPr>
      <w:rFonts w:hint="default" w:ascii="Times New Roman" w:hAnsi="Times New Roman" w:cs="Times New Roman"/>
    </w:rPr>
  </w:style>
  <w:style w:type="character" w:customStyle="1" w:styleId="6">
    <w:name w:val="15"/>
    <w:basedOn w:val="4"/>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1860</Words>
  <Characters>1865</Characters>
  <Lines>1</Lines>
  <Paragraphs>1</Paragraphs>
  <TotalTime>6</TotalTime>
  <ScaleCrop>false</ScaleCrop>
  <LinksUpToDate>false</LinksUpToDate>
  <CharactersWithSpaces>1872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2026-06-26T00:21:00Z</dcterms:created>
  <dc:creator>greatwall</dc:creator>
  <cp:lastModifiedBy>海南医保</cp:lastModifiedBy>
  <dcterms:modified xsi:type="dcterms:W3CDTF">2026-07-31T07:54:39Z</dcterms:modified>
  <dc:title>关于进一步加强职工基本医疗保险个人账户使用和定点零售药店监督管理的通知</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0C7D9130DC044AB1B15D67DCEF3C60F4_13</vt:lpwstr>
  </property>
</Properties>
</file>