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i w:val="0"/>
          <w:caps w:val="0"/>
          <w:color w:val="404040"/>
          <w:spacing w:val="0"/>
          <w:sz w:val="44"/>
          <w:szCs w:val="44"/>
          <w:shd w:val="clear" w:fill="FFFFFF"/>
          <w:lang w:val="en-US" w:eastAsia="zh-CN"/>
        </w:rPr>
      </w:pPr>
      <w:r>
        <w:rPr>
          <w:rFonts w:hint="eastAsia" w:ascii="方正小标宋简体" w:hAnsi="方正小标宋简体" w:eastAsia="方正小标宋简体" w:cs="方正小标宋简体"/>
          <w:i w:val="0"/>
          <w:caps w:val="0"/>
          <w:color w:val="404040"/>
          <w:spacing w:val="0"/>
          <w:sz w:val="44"/>
          <w:szCs w:val="44"/>
          <w:shd w:val="clear" w:fill="FFFFFF"/>
          <w:lang w:val="en-US" w:eastAsia="zh-CN"/>
        </w:rPr>
        <w:t>中药饮片挂网业务办理流程</w:t>
      </w:r>
    </w:p>
    <w:p>
      <w:pPr>
        <w:ind w:firstLine="600" w:firstLineChars="200"/>
        <w:rPr>
          <w:rFonts w:hint="eastAsia" w:ascii="仿宋_GB2312" w:hAnsi="仿宋_GB2312" w:eastAsia="仿宋_GB2312" w:cs="仿宋_GB2312"/>
          <w:i w:val="0"/>
          <w:caps w:val="0"/>
          <w:color w:val="404040"/>
          <w:spacing w:val="0"/>
          <w:sz w:val="30"/>
          <w:szCs w:val="30"/>
          <w:shd w:val="clear" w:fill="FFFFFF"/>
          <w:lang w:val="en-US" w:eastAsia="zh-CN"/>
        </w:rPr>
      </w:pPr>
    </w:p>
    <w:p>
      <w:pPr>
        <w:ind w:firstLine="600" w:firstLineChars="200"/>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为持续优化医药领域营商环境，提升药品挂网办事效率，规范中药饮片阳光挂网采购管理，助力医药产业高质量发展，依据《北京市医疗保障局关于进一步完善中药饮片阳光挂网采购的通知》（京医保发〔2024〕18号），制定本流程。</w:t>
      </w:r>
    </w:p>
    <w:p>
      <w:pPr>
        <w:numPr>
          <w:ilvl w:val="0"/>
          <w:numId w:val="1"/>
        </w:numPr>
        <w:ind w:firstLine="600" w:firstLineChars="200"/>
        <w:rPr>
          <w:rFonts w:hint="eastAsia" w:ascii="黑体" w:hAnsi="黑体" w:eastAsia="黑体" w:cs="黑体"/>
          <w:i w:val="0"/>
          <w:caps w:val="0"/>
          <w:color w:val="404040"/>
          <w:spacing w:val="0"/>
          <w:sz w:val="30"/>
          <w:szCs w:val="30"/>
          <w:shd w:val="clear" w:fill="FFFFFF"/>
          <w:lang w:val="en-US" w:eastAsia="zh-CN"/>
        </w:rPr>
      </w:pPr>
      <w:r>
        <w:rPr>
          <w:rFonts w:hint="eastAsia" w:ascii="黑体" w:hAnsi="黑体" w:eastAsia="黑体" w:cs="黑体"/>
          <w:i w:val="0"/>
          <w:caps w:val="0"/>
          <w:color w:val="404040"/>
          <w:spacing w:val="0"/>
          <w:sz w:val="30"/>
          <w:szCs w:val="30"/>
          <w:shd w:val="clear" w:fill="FFFFFF"/>
          <w:lang w:val="en-US" w:eastAsia="zh-CN"/>
        </w:rPr>
        <w:t>挂网产品范围</w:t>
      </w:r>
    </w:p>
    <w:p>
      <w:pPr>
        <w:ind w:firstLine="600" w:firstLineChars="200"/>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符合国家和北京市生产、流通与使用的相关规定，已取得国家中药饮片编码且质量标准为《中华人民共和国药典》等国家标准或北京市标准的中药饮片（不包括中药配方颗粒）。</w:t>
      </w:r>
    </w:p>
    <w:p>
      <w:pPr>
        <w:numPr>
          <w:ilvl w:val="0"/>
          <w:numId w:val="1"/>
        </w:numPr>
        <w:ind w:firstLine="600" w:firstLineChars="200"/>
        <w:rPr>
          <w:rFonts w:hint="eastAsia" w:ascii="黑体" w:hAnsi="黑体" w:eastAsia="黑体" w:cs="黑体"/>
          <w:i w:val="0"/>
          <w:caps w:val="0"/>
          <w:color w:val="404040"/>
          <w:spacing w:val="0"/>
          <w:sz w:val="30"/>
          <w:szCs w:val="30"/>
          <w:shd w:val="clear" w:fill="FFFFFF"/>
          <w:lang w:val="en-US" w:eastAsia="zh-CN"/>
        </w:rPr>
      </w:pPr>
      <w:r>
        <w:rPr>
          <w:rFonts w:hint="eastAsia" w:ascii="黑体" w:hAnsi="黑体" w:eastAsia="黑体" w:cs="黑体"/>
          <w:i w:val="0"/>
          <w:caps w:val="0"/>
          <w:color w:val="404040"/>
          <w:spacing w:val="0"/>
          <w:sz w:val="30"/>
          <w:szCs w:val="30"/>
          <w:shd w:val="clear" w:fill="FFFFFF"/>
          <w:lang w:val="en-US" w:eastAsia="zh-CN"/>
        </w:rPr>
        <w:t>挂网企业范围</w:t>
      </w:r>
    </w:p>
    <w:p>
      <w:pPr>
        <w:ind w:firstLine="602" w:firstLineChars="200"/>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b/>
          <w:bCs/>
          <w:i w:val="0"/>
          <w:caps w:val="0"/>
          <w:color w:val="404040"/>
          <w:spacing w:val="0"/>
          <w:sz w:val="30"/>
          <w:szCs w:val="30"/>
          <w:shd w:val="clear" w:fill="FFFFFF"/>
          <w:lang w:val="en-US" w:eastAsia="zh-CN"/>
        </w:rPr>
        <w:t>生产企业</w:t>
      </w:r>
      <w:r>
        <w:rPr>
          <w:rFonts w:hint="eastAsia" w:ascii="仿宋_GB2312" w:hAnsi="仿宋_GB2312" w:eastAsia="仿宋_GB2312" w:cs="仿宋_GB2312"/>
          <w:i w:val="0"/>
          <w:caps w:val="0"/>
          <w:color w:val="404040"/>
          <w:spacing w:val="0"/>
          <w:sz w:val="30"/>
          <w:szCs w:val="30"/>
          <w:shd w:val="clear" w:fill="FFFFFF"/>
          <w:lang w:val="en-US" w:eastAsia="zh-CN"/>
        </w:rPr>
        <w:t>（含药品上市许可持有人）：须取得《营业执照》、《药品生产许可证》（生产范围须包含中药饮片）等资质。</w:t>
      </w:r>
    </w:p>
    <w:p>
      <w:pPr>
        <w:ind w:firstLine="602" w:firstLineChars="200"/>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b/>
          <w:bCs/>
          <w:i w:val="0"/>
          <w:caps w:val="0"/>
          <w:color w:val="404040"/>
          <w:spacing w:val="0"/>
          <w:sz w:val="30"/>
          <w:szCs w:val="30"/>
          <w:shd w:val="clear" w:fill="FFFFFF"/>
          <w:lang w:val="en-US" w:eastAsia="zh-CN"/>
        </w:rPr>
        <w:t>经营企业</w:t>
      </w:r>
      <w:r>
        <w:rPr>
          <w:rFonts w:hint="eastAsia" w:ascii="仿宋_GB2312" w:hAnsi="仿宋_GB2312" w:eastAsia="仿宋_GB2312" w:cs="仿宋_GB2312"/>
          <w:i w:val="0"/>
          <w:caps w:val="0"/>
          <w:color w:val="404040"/>
          <w:spacing w:val="0"/>
          <w:sz w:val="30"/>
          <w:szCs w:val="30"/>
          <w:shd w:val="clear" w:fill="FFFFFF"/>
          <w:lang w:val="en-US" w:eastAsia="zh-CN"/>
        </w:rPr>
        <w:t>：须取得《营业执照》、《药品经营许可证》（经营范围须包含中药饮片）等资质。</w:t>
      </w:r>
    </w:p>
    <w:p>
      <w:pPr>
        <w:numPr>
          <w:ilvl w:val="0"/>
          <w:numId w:val="1"/>
        </w:numPr>
        <w:ind w:firstLine="600" w:firstLineChars="200"/>
        <w:rPr>
          <w:rFonts w:hint="eastAsia" w:ascii="黑体" w:hAnsi="黑体" w:eastAsia="黑体" w:cs="黑体"/>
          <w:i w:val="0"/>
          <w:caps w:val="0"/>
          <w:color w:val="404040"/>
          <w:spacing w:val="0"/>
          <w:sz w:val="30"/>
          <w:szCs w:val="30"/>
          <w:shd w:val="clear" w:fill="FFFFFF"/>
          <w:lang w:val="en-US" w:eastAsia="zh-CN"/>
        </w:rPr>
      </w:pPr>
      <w:r>
        <w:rPr>
          <w:rFonts w:hint="eastAsia" w:ascii="黑体" w:hAnsi="黑体" w:eastAsia="黑体" w:cs="黑体"/>
          <w:i w:val="0"/>
          <w:caps w:val="0"/>
          <w:color w:val="404040"/>
          <w:spacing w:val="0"/>
          <w:sz w:val="30"/>
          <w:szCs w:val="30"/>
          <w:shd w:val="clear" w:fill="FFFFFF"/>
          <w:lang w:val="en-US" w:eastAsia="zh-CN"/>
        </w:rPr>
        <w:t>业务办理流程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楷体" w:hAnsi="楷体" w:eastAsia="楷体" w:cs="楷体"/>
          <w:i w:val="0"/>
          <w:caps w:val="0"/>
          <w:color w:val="404040"/>
          <w:spacing w:val="0"/>
          <w:sz w:val="30"/>
          <w:szCs w:val="30"/>
          <w:shd w:val="clear" w:fill="FFFFFF"/>
          <w:lang w:val="en-US" w:eastAsia="zh-CN"/>
        </w:rPr>
      </w:pPr>
      <w:r>
        <w:rPr>
          <w:rFonts w:hint="eastAsia" w:ascii="楷体" w:hAnsi="楷体" w:eastAsia="楷体" w:cs="楷体"/>
          <w:i w:val="0"/>
          <w:caps w:val="0"/>
          <w:color w:val="404040"/>
          <w:spacing w:val="0"/>
          <w:sz w:val="30"/>
          <w:szCs w:val="30"/>
          <w:shd w:val="clear" w:fill="FFFFFF"/>
          <w:lang w:val="en-US" w:eastAsia="zh-CN"/>
        </w:rPr>
        <w:t>（一）企业用户注册</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00" w:firstLineChars="200"/>
        <w:jc w:val="left"/>
        <w:rPr>
          <w:rFonts w:hint="eastAsia" w:ascii="仿宋_GB2312" w:hAnsi="仿宋_GB2312" w:eastAsia="仿宋_GB2312" w:cs="仿宋_GB2312"/>
          <w:i w:val="0"/>
          <w:caps w:val="0"/>
          <w:color w:val="404040"/>
          <w:spacing w:val="0"/>
          <w:kern w:val="2"/>
          <w:sz w:val="30"/>
          <w:szCs w:val="30"/>
          <w:shd w:val="clear" w:fill="FFFFFF"/>
          <w:lang w:val="en-US" w:eastAsia="zh-CN" w:bidi="ar-SA"/>
        </w:rPr>
      </w:pPr>
      <w:r>
        <w:rPr>
          <w:rFonts w:hint="eastAsia" w:ascii="仿宋_GB2312" w:hAnsi="仿宋_GB2312" w:eastAsia="仿宋_GB2312" w:cs="仿宋_GB2312"/>
          <w:i w:val="0"/>
          <w:caps w:val="0"/>
          <w:color w:val="404040"/>
          <w:spacing w:val="0"/>
          <w:kern w:val="2"/>
          <w:sz w:val="30"/>
          <w:szCs w:val="30"/>
          <w:shd w:val="clear" w:fill="FFFFFF"/>
          <w:lang w:val="en-US" w:eastAsia="zh-CN" w:bidi="ar-SA"/>
        </w:rPr>
        <w:t>尚未在本市药品和医用耗材招采管理子系统（以下简称“医药采购平台”）注册中药饮片账号的企业，请登录北京市医保公共服务平台首页（网址：</w:t>
      </w:r>
      <w:r>
        <w:rPr>
          <w:rFonts w:hint="eastAsia" w:ascii="仿宋_GB2312" w:hAnsi="仿宋_GB2312" w:eastAsia="仿宋_GB2312" w:cs="仿宋_GB2312"/>
          <w:i w:val="0"/>
          <w:caps w:val="0"/>
          <w:color w:val="404040"/>
          <w:spacing w:val="0"/>
          <w:kern w:val="2"/>
          <w:sz w:val="30"/>
          <w:szCs w:val="30"/>
          <w:u w:val="none"/>
          <w:shd w:val="clear" w:fill="FFFFFF"/>
          <w:lang w:val="en-US" w:eastAsia="zh-CN" w:bidi="ar-SA"/>
        </w:rPr>
        <w:t>https://ybfw.ybj.beijing.gov.cn/#/Index），结合自身企业类型（生产企业和经营企业），完成中药饮片数字证书申领及平台用户注册，具体操作方式详见附件1。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楷体" w:hAnsi="楷体" w:eastAsia="楷体" w:cs="楷体"/>
          <w:i w:val="0"/>
          <w:caps w:val="0"/>
          <w:color w:val="404040"/>
          <w:spacing w:val="0"/>
          <w:sz w:val="30"/>
          <w:szCs w:val="30"/>
          <w:shd w:val="clear" w:fill="FFFFFF"/>
          <w:lang w:eastAsia="zh-CN"/>
        </w:rPr>
      </w:pPr>
      <w:r>
        <w:rPr>
          <w:rFonts w:hint="eastAsia" w:ascii="楷体" w:hAnsi="楷体" w:eastAsia="楷体" w:cs="楷体"/>
          <w:i w:val="0"/>
          <w:caps w:val="0"/>
          <w:color w:val="404040"/>
          <w:spacing w:val="0"/>
          <w:sz w:val="30"/>
          <w:szCs w:val="30"/>
          <w:shd w:val="clear" w:fill="FFFFFF"/>
          <w:lang w:eastAsia="zh-CN"/>
        </w:rPr>
        <w:t>（二）产品挂网申报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jc w:val="left"/>
        <w:rPr>
          <w:rFonts w:hint="eastAsia" w:ascii="仿宋_GB2312" w:hAnsi="仿宋_GB2312" w:eastAsia="仿宋_GB2312" w:cs="仿宋_GB2312"/>
          <w:i w:val="0"/>
          <w:caps w:val="0"/>
          <w:color w:val="404040"/>
          <w:spacing w:val="0"/>
          <w:sz w:val="30"/>
          <w:szCs w:val="30"/>
          <w:shd w:val="clear" w:fill="FFFFFF"/>
          <w:lang w:eastAsia="zh-CN"/>
        </w:rPr>
      </w:pPr>
      <w:r>
        <w:rPr>
          <w:rFonts w:hint="eastAsia" w:ascii="仿宋_GB2312" w:hAnsi="仿宋_GB2312" w:eastAsia="仿宋_GB2312" w:cs="仿宋_GB2312"/>
          <w:i w:val="0"/>
          <w:caps w:val="0"/>
          <w:color w:val="404040"/>
          <w:spacing w:val="0"/>
          <w:sz w:val="30"/>
          <w:szCs w:val="30"/>
          <w:shd w:val="clear" w:fill="FFFFFF"/>
          <w:lang w:eastAsia="zh-CN"/>
        </w:rPr>
        <w:t>申报企业完成用户注册后，登录医药采购平台（网址：https://ybfw.ybj.beijing.gov.cn/#/Index），进入“中药饮片管理”模块，选择“申报管理</w:t>
      </w:r>
      <w:r>
        <w:rPr>
          <w:rFonts w:hint="eastAsia" w:ascii="仿宋_GB2312" w:hAnsi="仿宋_GB2312" w:eastAsia="仿宋_GB2312" w:cs="仿宋_GB2312"/>
          <w:i w:val="0"/>
          <w:caps w:val="0"/>
          <w:color w:val="404040"/>
          <w:spacing w:val="0"/>
          <w:sz w:val="30"/>
          <w:szCs w:val="30"/>
          <w:shd w:val="clear" w:fill="FFFFFF"/>
          <w:lang w:val="en-US" w:eastAsia="zh-CN"/>
        </w:rPr>
        <w:t>-</w:t>
      </w:r>
      <w:r>
        <w:rPr>
          <w:rFonts w:hint="eastAsia" w:ascii="仿宋_GB2312" w:hAnsi="仿宋_GB2312" w:eastAsia="仿宋_GB2312" w:cs="仿宋_GB2312"/>
          <w:i w:val="0"/>
          <w:caps w:val="0"/>
          <w:color w:val="404040"/>
          <w:spacing w:val="0"/>
          <w:sz w:val="30"/>
          <w:szCs w:val="30"/>
          <w:shd w:val="clear" w:fill="FFFFFF"/>
          <w:lang w:eastAsia="zh-CN"/>
        </w:rPr>
        <w:t>中药饮片产品申报”功能，提交饮片产品申报申请，平台即时受理，次日起</w:t>
      </w:r>
      <w:r>
        <w:rPr>
          <w:rFonts w:hint="eastAsia" w:ascii="仿宋_GB2312" w:hAnsi="仿宋_GB2312" w:eastAsia="仿宋_GB2312" w:cs="仿宋_GB2312"/>
          <w:i w:val="0"/>
          <w:caps w:val="0"/>
          <w:color w:val="404040"/>
          <w:spacing w:val="0"/>
          <w:sz w:val="30"/>
          <w:szCs w:val="30"/>
          <w:highlight w:val="none"/>
          <w:shd w:val="clear" w:fill="FFFFFF"/>
          <w:lang w:eastAsia="zh-CN"/>
        </w:rPr>
        <w:t>公示</w:t>
      </w:r>
      <w:r>
        <w:rPr>
          <w:rFonts w:hint="eastAsia" w:ascii="仿宋_GB2312" w:hAnsi="仿宋_GB2312" w:eastAsia="仿宋_GB2312" w:cs="仿宋_GB2312"/>
          <w:i w:val="0"/>
          <w:caps w:val="0"/>
          <w:color w:val="404040"/>
          <w:spacing w:val="0"/>
          <w:sz w:val="30"/>
          <w:szCs w:val="30"/>
          <w:shd w:val="clear" w:fill="FFFFFF"/>
          <w:lang w:eastAsia="zh-CN"/>
        </w:rPr>
        <w:t>。公示3个工作日后无质疑的，办结并公布结果；收到质疑的产品将进入质疑信息审核流程，审核工作原则上3个工作日内，最长不超过9个工作日完成。质疑有效的，退回企业澄清，办理时限重新计算；质疑无效的，及时公布办理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楷体" w:hAnsi="楷体" w:eastAsia="楷体" w:cs="楷体"/>
          <w:i w:val="0"/>
          <w:caps w:val="0"/>
          <w:color w:val="404040"/>
          <w:spacing w:val="0"/>
          <w:sz w:val="30"/>
          <w:szCs w:val="30"/>
          <w:shd w:val="clear" w:fill="FFFFFF"/>
          <w:lang w:eastAsia="zh-CN"/>
        </w:rPr>
      </w:pPr>
      <w:r>
        <w:rPr>
          <w:rFonts w:hint="eastAsia" w:ascii="楷体" w:hAnsi="楷体" w:eastAsia="楷体" w:cs="楷体"/>
          <w:i w:val="0"/>
          <w:caps w:val="0"/>
          <w:color w:val="404040"/>
          <w:spacing w:val="0"/>
          <w:sz w:val="30"/>
          <w:szCs w:val="30"/>
          <w:shd w:val="clear" w:fill="FFFFFF"/>
          <w:lang w:eastAsia="zh-CN"/>
        </w:rPr>
        <w:t>（三）质疑澄清审核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jc w:val="left"/>
        <w:rPr>
          <w:rFonts w:hint="eastAsia" w:ascii="仿宋_GB2312" w:hAnsi="仿宋_GB2312" w:eastAsia="仿宋_GB2312" w:cs="仿宋_GB2312"/>
          <w:i w:val="0"/>
          <w:caps w:val="0"/>
          <w:color w:val="404040"/>
          <w:spacing w:val="0"/>
          <w:sz w:val="30"/>
          <w:szCs w:val="30"/>
          <w:shd w:val="clear" w:fill="FFFFFF"/>
          <w:lang w:eastAsia="zh-CN"/>
        </w:rPr>
      </w:pPr>
      <w:r>
        <w:rPr>
          <w:rFonts w:hint="eastAsia" w:ascii="仿宋_GB2312" w:hAnsi="仿宋_GB2312" w:eastAsia="仿宋_GB2312" w:cs="仿宋_GB2312"/>
          <w:i w:val="0"/>
          <w:caps w:val="0"/>
          <w:color w:val="404040"/>
          <w:spacing w:val="0"/>
          <w:sz w:val="30"/>
          <w:szCs w:val="30"/>
          <w:shd w:val="clear" w:fill="FFFFFF"/>
          <w:lang w:eastAsia="zh-CN"/>
        </w:rPr>
        <w:t>企业提交澄清材料后，进入澄清信息审核流程，审核时限同上（原则上3个工作日内，最长不超过9个工作日）。审核通过后公示3个工作日，公示期间无新增质疑的予以办结；收到非重复新增质疑的，按质疑流程审核处置，规则及时限参照上述要求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楷体" w:hAnsi="楷体" w:eastAsia="楷体" w:cs="楷体"/>
          <w:i w:val="0"/>
          <w:caps w:val="0"/>
          <w:color w:val="404040"/>
          <w:spacing w:val="0"/>
          <w:sz w:val="30"/>
          <w:szCs w:val="30"/>
          <w:shd w:val="clear" w:fill="FFFFFF"/>
          <w:lang w:eastAsia="zh-CN"/>
        </w:rPr>
      </w:pPr>
      <w:r>
        <w:rPr>
          <w:rFonts w:hint="eastAsia" w:ascii="楷体" w:hAnsi="楷体" w:eastAsia="楷体" w:cs="楷体"/>
          <w:i w:val="0"/>
          <w:caps w:val="0"/>
          <w:color w:val="404040"/>
          <w:spacing w:val="0"/>
          <w:sz w:val="30"/>
          <w:szCs w:val="30"/>
          <w:shd w:val="clear" w:fill="FFFFFF"/>
          <w:lang w:eastAsia="zh-CN"/>
        </w:rPr>
        <w:t>（四）信息申诉办理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jc w:val="left"/>
        <w:rPr>
          <w:rFonts w:hint="eastAsia" w:ascii="仿宋_GB2312" w:hAnsi="仿宋_GB2312" w:eastAsia="仿宋_GB2312" w:cs="仿宋_GB2312"/>
          <w:i w:val="0"/>
          <w:caps w:val="0"/>
          <w:color w:val="404040"/>
          <w:spacing w:val="0"/>
          <w:sz w:val="30"/>
          <w:szCs w:val="30"/>
          <w:shd w:val="clear" w:fill="FFFFFF"/>
          <w:lang w:eastAsia="zh-CN"/>
        </w:rPr>
      </w:pPr>
      <w:r>
        <w:rPr>
          <w:rFonts w:hint="eastAsia" w:ascii="仿宋_GB2312" w:hAnsi="仿宋_GB2312" w:eastAsia="仿宋_GB2312" w:cs="仿宋_GB2312"/>
          <w:i w:val="0"/>
          <w:caps w:val="0"/>
          <w:color w:val="404040"/>
          <w:spacing w:val="0"/>
          <w:sz w:val="30"/>
          <w:szCs w:val="30"/>
          <w:shd w:val="clear" w:fill="FFFFFF"/>
          <w:lang w:eastAsia="zh-CN"/>
        </w:rPr>
        <w:t>企业对申报过程中计量单位、计价单位等信息存在异议的，可通过申报界面“信息申诉”入口提交申诉材料。平台自受理之日起，原则上</w:t>
      </w:r>
      <w:r>
        <w:rPr>
          <w:rFonts w:hint="eastAsia" w:ascii="仿宋_GB2312" w:hAnsi="仿宋_GB2312" w:eastAsia="仿宋_GB2312" w:cs="仿宋_GB2312"/>
          <w:i w:val="0"/>
          <w:caps w:val="0"/>
          <w:color w:val="404040"/>
          <w:spacing w:val="0"/>
          <w:sz w:val="30"/>
          <w:szCs w:val="30"/>
          <w:shd w:val="clear" w:fill="FFFFFF"/>
          <w:lang w:val="en-US" w:eastAsia="zh-CN"/>
        </w:rPr>
        <w:t>15</w:t>
      </w:r>
      <w:r>
        <w:rPr>
          <w:rFonts w:hint="eastAsia" w:ascii="仿宋_GB2312" w:hAnsi="仿宋_GB2312" w:eastAsia="仿宋_GB2312" w:cs="仿宋_GB2312"/>
          <w:i w:val="0"/>
          <w:caps w:val="0"/>
          <w:color w:val="404040"/>
          <w:spacing w:val="0"/>
          <w:sz w:val="30"/>
          <w:szCs w:val="30"/>
          <w:shd w:val="clear" w:fill="FFFFFF"/>
          <w:lang w:eastAsia="zh-CN"/>
        </w:rPr>
        <w:t>个工作日内反馈处理意见。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楷体" w:hAnsi="楷体" w:eastAsia="楷体" w:cs="楷体"/>
          <w:i w:val="0"/>
          <w:caps w:val="0"/>
          <w:color w:val="404040"/>
          <w:spacing w:val="0"/>
          <w:sz w:val="30"/>
          <w:szCs w:val="30"/>
          <w:shd w:val="clear" w:fill="FFFFFF"/>
          <w:lang w:eastAsia="zh-CN"/>
        </w:rPr>
      </w:pPr>
      <w:r>
        <w:rPr>
          <w:rFonts w:hint="eastAsia" w:ascii="楷体" w:hAnsi="楷体" w:eastAsia="楷体" w:cs="楷体"/>
          <w:i w:val="0"/>
          <w:caps w:val="0"/>
          <w:color w:val="404040"/>
          <w:spacing w:val="0"/>
          <w:sz w:val="30"/>
          <w:szCs w:val="30"/>
          <w:shd w:val="clear" w:fill="FFFFFF"/>
          <w:lang w:eastAsia="zh-CN"/>
        </w:rPr>
        <w:t>（五）建立配送关系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jc w:val="left"/>
        <w:rPr>
          <w:rFonts w:hint="eastAsia" w:ascii="仿宋_GB2312" w:hAnsi="仿宋_GB2312" w:eastAsia="仿宋_GB2312" w:cs="仿宋_GB2312"/>
          <w:i w:val="0"/>
          <w:caps w:val="0"/>
          <w:color w:val="404040"/>
          <w:spacing w:val="0"/>
          <w:sz w:val="30"/>
          <w:szCs w:val="30"/>
          <w:shd w:val="clear" w:fill="FFFFFF"/>
          <w:lang w:eastAsia="zh-CN"/>
        </w:rPr>
      </w:pPr>
      <w:r>
        <w:rPr>
          <w:rFonts w:hint="eastAsia" w:ascii="仿宋_GB2312" w:hAnsi="仿宋_GB2312" w:eastAsia="仿宋_GB2312" w:cs="仿宋_GB2312"/>
          <w:i w:val="0"/>
          <w:caps w:val="0"/>
          <w:color w:val="404040"/>
          <w:spacing w:val="0"/>
          <w:sz w:val="30"/>
          <w:szCs w:val="30"/>
          <w:shd w:val="clear" w:fill="FFFFFF"/>
          <w:lang w:eastAsia="zh-CN"/>
        </w:rPr>
        <w:t>完成产品挂网后，生产企业应及时通过医药采购平台完成与配送企业的配送关系委托及确认。生产企业自配的产品无需操作，医疗机构委托产品时可直接选择生产企业进行配送。</w:t>
      </w:r>
    </w:p>
    <w:p>
      <w:pPr>
        <w:numPr>
          <w:ilvl w:val="0"/>
          <w:numId w:val="1"/>
        </w:numPr>
        <w:ind w:firstLine="600" w:firstLineChars="200"/>
        <w:rPr>
          <w:rFonts w:hint="eastAsia" w:ascii="黑体" w:hAnsi="黑体" w:eastAsia="黑体" w:cs="黑体"/>
          <w:i w:val="0"/>
          <w:caps w:val="0"/>
          <w:color w:val="404040"/>
          <w:spacing w:val="0"/>
          <w:sz w:val="30"/>
          <w:szCs w:val="30"/>
          <w:shd w:val="clear" w:fill="FFFFFF"/>
          <w:lang w:val="en-US" w:eastAsia="zh-CN"/>
        </w:rPr>
      </w:pPr>
      <w:r>
        <w:rPr>
          <w:rFonts w:hint="eastAsia" w:ascii="黑体" w:hAnsi="黑体" w:eastAsia="黑体" w:cs="黑体"/>
          <w:i w:val="0"/>
          <w:caps w:val="0"/>
          <w:color w:val="404040"/>
          <w:spacing w:val="0"/>
          <w:sz w:val="30"/>
          <w:szCs w:val="30"/>
          <w:shd w:val="clear" w:fill="FFFFFF"/>
          <w:lang w:val="en-US" w:eastAsia="zh-CN"/>
        </w:rPr>
        <w:t>相关工作要求</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00" w:firstLineChars="20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产品申报企业应为中药饮片生产企业。生产、经营企业须未被列入当前《全国医药价格和招采失信企业风险警示名单》，且已按要求签署北京市《医药企业价格和营销行为信用承诺书》，承诺申报信息真实准确、合规开展价格及营销行为。</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00" w:firstLineChars="20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各申报企业应严格按照平台要求，规范提交申报材料，确保信息真实、准确、完整，避免因材料不全、信息有误影响办理进度。</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00" w:firstLineChars="20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各企业进行业务办理前，应先完成中药饮片数字证书申领及平台用户注册，操作手册已同步上传至医药采购平台，企业可自行登录下载学习</w:t>
      </w:r>
      <w:r>
        <w:rPr>
          <w:rFonts w:hint="eastAsia" w:ascii="仿宋_GB2312" w:hAnsi="仿宋_GB2312" w:eastAsia="仿宋_GB2312" w:cs="仿宋_GB2312"/>
          <w:color w:val="404040"/>
          <w:sz w:val="30"/>
          <w:szCs w:val="30"/>
          <w:shd w:val="clear" w:fill="FFFFFF"/>
        </w:rPr>
        <w:t>（附件2）</w:t>
      </w:r>
      <w:r>
        <w:rPr>
          <w:rFonts w:hint="eastAsia" w:ascii="仿宋_GB2312" w:hAnsi="仿宋_GB2312" w:eastAsia="仿宋_GB2312" w:cs="仿宋_GB2312"/>
          <w:i w:val="0"/>
          <w:caps w:val="0"/>
          <w:color w:val="404040"/>
          <w:spacing w:val="0"/>
          <w:sz w:val="30"/>
          <w:szCs w:val="30"/>
          <w:shd w:val="clear" w:fill="FFFFFF"/>
          <w:lang w:val="en-US" w:eastAsia="zh-CN"/>
        </w:rPr>
        <w:t>。</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00" w:firstLineChars="200"/>
        <w:jc w:val="left"/>
        <w:textAlignment w:val="auto"/>
        <w:rPr>
          <w:rFonts w:hint="eastAsia" w:ascii="仿宋_GB2312" w:hAnsi="仿宋_GB2312" w:eastAsia="仿宋_GB2312" w:cs="仿宋_GB2312"/>
          <w:i w:val="0"/>
          <w:caps w:val="0"/>
          <w:color w:val="404040"/>
          <w:spacing w:val="0"/>
          <w:sz w:val="30"/>
          <w:szCs w:val="30"/>
          <w:shd w:val="clear" w:fill="FFFFFF"/>
        </w:rPr>
      </w:pPr>
      <w:r>
        <w:rPr>
          <w:rFonts w:hint="eastAsia" w:ascii="仿宋_GB2312" w:hAnsi="仿宋_GB2312" w:eastAsia="仿宋_GB2312" w:cs="仿宋_GB2312"/>
          <w:i w:val="0"/>
          <w:caps w:val="0"/>
          <w:color w:val="404040"/>
          <w:spacing w:val="0"/>
          <w:sz w:val="30"/>
          <w:szCs w:val="30"/>
          <w:shd w:val="clear" w:fill="FFFFFF"/>
          <w:lang w:val="en-US" w:eastAsia="zh-CN"/>
        </w:rPr>
        <w:t>如遇系统故障或对平台功能优化有意见建议，可通过医药采购平台意见建议栏、技术支持电话等官方渠道反馈。</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00" w:firstLineChars="20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附件：1.企业用户注册操作手册</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1500" w:firstLineChars="500"/>
        <w:jc w:val="left"/>
        <w:textAlignment w:val="auto"/>
        <w:rPr>
          <w:rFonts w:hint="default" w:ascii="仿宋_GB2312" w:hAnsi="仿宋_GB2312" w:eastAsia="仿宋_GB2312" w:cs="仿宋_GB2312"/>
          <w:i w:val="0"/>
          <w:caps w:val="0"/>
          <w:color w:val="404040"/>
          <w:spacing w:val="0"/>
          <w:sz w:val="30"/>
          <w:szCs w:val="30"/>
          <w:shd w:val="clear" w:fill="FFFFFF"/>
          <w:lang w:val="en-US" w:eastAsia="zh-CN"/>
        </w:rPr>
      </w:pPr>
      <w:r>
        <w:rPr>
          <w:rFonts w:hint="eastAsia" w:ascii="仿宋_GB2312" w:hAnsi="仿宋_GB2312" w:eastAsia="仿宋_GB2312" w:cs="仿宋_GB2312"/>
          <w:i w:val="0"/>
          <w:caps w:val="0"/>
          <w:color w:val="404040"/>
          <w:spacing w:val="0"/>
          <w:sz w:val="30"/>
          <w:szCs w:val="30"/>
          <w:shd w:val="clear" w:fill="FFFFFF"/>
          <w:lang w:val="en-US" w:eastAsia="zh-CN"/>
        </w:rPr>
        <w:t>2.饮片企业用户操作手册（详见本市医药采购平台内通知）</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_GB2312" w:hAnsi="仿宋_GB2312" w:eastAsia="仿宋_GB2312" w:cs="仿宋_GB2312"/>
          <w:i w:val="0"/>
          <w:caps w:val="0"/>
          <w:color w:val="404040"/>
          <w:spacing w:val="0"/>
          <w:sz w:val="30"/>
          <w:szCs w:val="30"/>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EB27A"/>
    <w:multiLevelType w:val="singleLevel"/>
    <w:tmpl w:val="313EB27A"/>
    <w:lvl w:ilvl="0" w:tentative="0">
      <w:start w:val="1"/>
      <w:numFmt w:val="decimal"/>
      <w:suff w:val="space"/>
      <w:lvlText w:val="%1."/>
      <w:lvlJc w:val="left"/>
    </w:lvl>
  </w:abstractNum>
  <w:abstractNum w:abstractNumId="1">
    <w:nsid w:val="68F016C5"/>
    <w:multiLevelType w:val="singleLevel"/>
    <w:tmpl w:val="68F016C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A041DE"/>
    <w:rsid w:val="299D187C"/>
    <w:rsid w:val="4B5F7BEE"/>
    <w:rsid w:val="4BE10116"/>
    <w:rsid w:val="51A041DE"/>
    <w:rsid w:val="A0F91AB3"/>
    <w:rsid w:val="BDF7A444"/>
    <w:rsid w:val="FFD7D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2026-09-28T12:34:00Z</dcterms:created>
  <dc:creator>爱晒太阳的猫</dc:creator>
  <cp:lastModifiedBy>爱晒太阳的猫</cp:lastModifiedBy>
  <cp:lastPrinted>2026-09-28T17:32:00Z</cp:lastPrinted>
  <dcterms:modified xsi:type="dcterms:W3CDTF">2026-10-08T03:05:36Z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CC1BDD68E7546F1CB2F9BC6A1F96A9DD</vt:lpwstr>
  </property>
</Properties>
</file>