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149236">
      <w:pPr>
        <w:pStyle w:val="36"/>
        <w:widowControl/>
        <w:shd w:val="clear" w:color="auto" w:fill="FFFFFF"/>
        <w:jc w:val="both"/>
        <w:rPr>
          <w:rFonts w:hint="eastAsia" w:ascii="Times New Roman" w:hAnsi="Times New Roman" w:eastAsia="黑体" w:cs="Times New Roman"/>
          <w:sz w:val="32"/>
          <w:szCs w:val="32"/>
        </w:rPr>
      </w:pPr>
      <w:bookmarkStart w:id="0" w:name="_GoBack"/>
      <mc:AlternateContent>
        <mc:Choice Requires="wpsCustomData">
          <wpsCustomData:docfieldStart id="0" docfieldname="附件_1" hidden="0" print="1" readonly="0" index="1"/>
        </mc:Choice>
      </mc:AlternateContent>
      <w:r>
        <w:rPr>
          <w:rFonts w:hint="eastAsia" w:ascii="Times New Roman" w:hAnsi="Times New Roman" w:eastAsia="黑体" w:cs="Times New Roman"/>
          <w:sz w:val="32"/>
          <w:szCs w:val="32"/>
        </w:rPr>
        <w:t xml:space="preserve">附件1 </w:t>
      </w:r>
    </w:p>
    <w:p w14:paraId="358DF294">
      <w:pPr>
        <w:pStyle w:val="36"/>
        <w:widowControl/>
        <w:shd w:val="clear" w:color="auto" w:fill="FFFFFF"/>
        <w:jc w:val="center"/>
        <w:rPr>
          <w:rFonts w:hint="eastAsia" w:ascii="Times New Roman" w:hAnsi="Times New Roman" w:eastAsia="方正公文小标宋" w:cs="Times New Roman"/>
          <w:sz w:val="44"/>
          <w:szCs w:val="44"/>
        </w:rPr>
      </w:pPr>
      <w:r>
        <w:rPr>
          <w:rFonts w:hint="eastAsia" w:ascii="Times New Roman" w:hAnsi="Times New Roman" w:eastAsia="方正公文小标宋" w:cs="Times New Roman"/>
          <w:sz w:val="44"/>
          <w:szCs w:val="44"/>
        </w:rPr>
        <w:t>第三方药品现代物流企业自营仓库设施</w:t>
      </w:r>
    </w:p>
    <w:p w14:paraId="464133DB">
      <w:pPr>
        <w:pStyle w:val="36"/>
        <w:widowControl/>
        <w:shd w:val="clear" w:color="auto" w:fill="FFFFFF"/>
        <w:jc w:val="center"/>
        <w:rPr>
          <w:rFonts w:hint="eastAsia" w:ascii="Times New Roman" w:hAnsi="Times New Roman" w:eastAsia="方正公文小标宋" w:cs="Times New Roman"/>
          <w:sz w:val="44"/>
          <w:szCs w:val="44"/>
        </w:rPr>
      </w:pPr>
      <w:r>
        <w:rPr>
          <w:rFonts w:hint="eastAsia" w:ascii="Times New Roman" w:hAnsi="Times New Roman" w:eastAsia="方正公文小标宋" w:cs="Times New Roman"/>
          <w:sz w:val="44"/>
          <w:szCs w:val="44"/>
        </w:rPr>
        <w:t>设备配备表（10000平方米）</w:t>
      </w:r>
      <mc:AlternateContent>
        <mc:Choice Requires="wpsCustomData">
          <wpsCustomData:docfieldEnd id="0"/>
        </mc:Choice>
      </mc:AlternateContent>
    </w:p>
    <w:bookmarkEnd w:id="0"/>
    <w:tbl>
      <w:tblPr>
        <w:tblStyle w:val="16"/>
        <w:tblW w:w="500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83"/>
        <w:gridCol w:w="2197"/>
        <w:gridCol w:w="763"/>
        <w:gridCol w:w="763"/>
        <w:gridCol w:w="4695"/>
      </w:tblGrid>
      <w:tr w14:paraId="5320F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blHeader/>
        </w:trPr>
        <w:tc>
          <w:tcPr>
            <w:tcW w:w="37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875BD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3"/>
                <w:szCs w:val="23"/>
                <w:lang w:val="en-US" w:eastAsia="zh-CN"/>
                <w14:ligatures w14:val="none"/>
              </w:rPr>
              <w:t xml:space="preserve"> 分</w:t>
            </w:r>
          </w:p>
          <w:p w14:paraId="4E6F26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3"/>
                <w:szCs w:val="23"/>
                <w:lang w:val="en-US" w:eastAsia="zh-CN"/>
                <w14:ligatures w14:val="none"/>
              </w:rPr>
              <w:t xml:space="preserve"> 类</w:t>
            </w:r>
          </w:p>
        </w:tc>
        <w:tc>
          <w:tcPr>
            <w:tcW w:w="120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92439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3"/>
                <w:szCs w:val="23"/>
                <w:lang w:val="en-US" w:eastAsia="zh-CN"/>
                <w14:ligatures w14:val="none"/>
              </w:rPr>
              <w:t>设施设备名称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DB6A8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3"/>
                <w:szCs w:val="23"/>
                <w:lang w:val="en-US" w:eastAsia="zh-CN"/>
                <w14:ligatures w14:val="none"/>
              </w:rPr>
              <w:t>必配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36517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3"/>
                <w:szCs w:val="23"/>
                <w:lang w:val="en-US" w:eastAsia="zh-CN"/>
                <w14:ligatures w14:val="none"/>
              </w:rPr>
              <w:t>选配</w:t>
            </w:r>
          </w:p>
        </w:tc>
        <w:tc>
          <w:tcPr>
            <w:tcW w:w="257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83DBA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3"/>
                <w:szCs w:val="23"/>
                <w:lang w:val="en-US" w:eastAsia="zh-CN"/>
                <w14:ligatures w14:val="none"/>
              </w:rPr>
              <w:t>备注</w:t>
            </w:r>
          </w:p>
        </w:tc>
      </w:tr>
      <w:tr w14:paraId="24730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375" w:type="pct"/>
            <w:vMerge w:val="restar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B091DD8">
            <w:pPr>
              <w:widowControl/>
              <w:spacing w:after="0" w:line="37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</w:pPr>
            <w:r>
              <w:rPr>
                <w:rFonts w:hint="eastAsia" w:ascii="Segoe UI" w:hAnsi="Segoe UI" w:eastAsia="宋体" w:cs="Segoe UI"/>
                <w:kern w:val="0"/>
                <w:sz w:val="23"/>
                <w:szCs w:val="23"/>
                <w:lang w:val="en-US" w:eastAsia="zh-CN"/>
                <w14:ligatures w14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  <w:t>库</w:t>
            </w:r>
          </w:p>
          <w:p w14:paraId="18FFDC8A">
            <w:pPr>
              <w:widowControl/>
              <w:spacing w:after="0" w:line="37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:lang w:val="en-US" w:eastAsia="zh-CN"/>
                <w14:ligatures w14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  <w:t>房</w:t>
            </w:r>
          </w:p>
          <w:p w14:paraId="6F432DDC">
            <w:pPr>
              <w:widowControl/>
              <w:spacing w:after="0" w:line="37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:lang w:val="en-US" w:eastAsia="zh-CN"/>
                <w14:ligatures w14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  <w:t>设</w:t>
            </w:r>
          </w:p>
          <w:p w14:paraId="2C03ECE5">
            <w:pPr>
              <w:widowControl/>
              <w:spacing w:after="0" w:line="37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:lang w:val="en-US" w:eastAsia="zh-CN"/>
                <w14:ligatures w14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  <w:t>施</w:t>
            </w:r>
          </w:p>
          <w:p w14:paraId="79BDBCCD">
            <w:pPr>
              <w:widowControl/>
              <w:spacing w:after="0" w:line="37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:lang w:val="en-US" w:eastAsia="zh-CN"/>
                <w14:ligatures w14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  <w:t>设</w:t>
            </w:r>
          </w:p>
          <w:p w14:paraId="32BC7BA6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:lang w:val="en-US" w:eastAsia="zh-CN"/>
                <w14:ligatures w14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  <w:t>备</w:t>
            </w:r>
          </w:p>
        </w:tc>
        <w:tc>
          <w:tcPr>
            <w:tcW w:w="120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3E063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1. 自动化立体仓库（AS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eastAsia="zh-CN"/>
                <w14:ligatures w14:val="none"/>
              </w:rPr>
              <w:t>／</w:t>
            </w: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RS）或高架仓库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42CC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√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7B480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257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2C180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两者可选其一，整件储存区容积原则上不少于25000立方米（第二十一条）</w:t>
            </w:r>
          </w:p>
        </w:tc>
      </w:tr>
      <w:tr w14:paraId="4D4E5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375" w:type="pct"/>
            <w:vMerge w:val="continue"/>
            <w:tcBorders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CB909EE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120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1BED0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 xml:space="preserve">2. 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自动</w:t>
            </w: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堆垛机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045D4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√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20261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257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0558E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数量与经营规模相适应（第十一条）</w:t>
            </w:r>
          </w:p>
        </w:tc>
      </w:tr>
      <w:tr w14:paraId="5CA92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375" w:type="pct"/>
            <w:vMerge w:val="continue"/>
            <w:tcBorders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C5960BF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120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E0313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3. 高位货架或重型组合式货架或隔板货架等其他货架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43406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√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98C05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257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72F7B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数量与经营规模相适应（第十一条）</w:t>
            </w:r>
          </w:p>
        </w:tc>
      </w:tr>
      <w:tr w14:paraId="48986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375" w:type="pct"/>
            <w:vMerge w:val="continue"/>
            <w:tcBorders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22F9101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120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58BA6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4. 标准托盘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9AE21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√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3799E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257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5D4B6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数量与经营规模相适应；实行货位管理，一位一码（第十一条）</w:t>
            </w:r>
          </w:p>
        </w:tc>
      </w:tr>
      <w:tr w14:paraId="513E5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375" w:type="pct"/>
            <w:vMerge w:val="continue"/>
            <w:tcBorders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24B1538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120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6A575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5. 电子标签（DPS）或平板电脑等拣选设备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65748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√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80DEB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257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60F78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数量与经营规模相适应；零货储存区域货位数不少于3500个（第十一条、第二十一条）</w:t>
            </w:r>
          </w:p>
        </w:tc>
      </w:tr>
      <w:tr w14:paraId="51097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375" w:type="pct"/>
            <w:vMerge w:val="continue"/>
            <w:tcBorders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0A1E30D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120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9AC8F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6.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eastAsia="zh-CN"/>
                <w14:ligatures w14:val="none"/>
              </w:rPr>
              <w:t xml:space="preserve"> 自动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导向</w:t>
            </w: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搬运车、</w:t>
            </w: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辅助用电动叉车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等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0F08A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√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CF990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257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CFD2E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数量与经营规模相适应（第十一条）</w:t>
            </w:r>
          </w:p>
        </w:tc>
      </w:tr>
      <w:tr w14:paraId="4BF9B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375" w:type="pct"/>
            <w:vMerge w:val="continue"/>
            <w:tcBorders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0C21436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120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25509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7. 条码扫描设备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6E326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√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EE892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257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086E7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用于入库、验收、分拣、复核等作业信息识别（第十一条）</w:t>
            </w:r>
          </w:p>
        </w:tc>
      </w:tr>
      <w:tr w14:paraId="0DE3B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375" w:type="pct"/>
            <w:vMerge w:val="continue"/>
            <w:tcBorders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F70099B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120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3EFDD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8. 自动分拣设备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E57EB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√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145AB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257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F25DE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配置与经营规模相适应，实现自动分拣（第十一条）</w:t>
            </w:r>
          </w:p>
        </w:tc>
      </w:tr>
      <w:tr w14:paraId="42D38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375" w:type="pct"/>
            <w:vMerge w:val="continue"/>
            <w:tcBorders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67320EC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120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69A54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9. 自动输送设备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A06BD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√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FACF4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257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49358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覆盖储存区、拣选作业区、出库复核区、集货配送区等区域（第十一条）</w:t>
            </w:r>
          </w:p>
        </w:tc>
      </w:tr>
      <w:tr w14:paraId="5F60A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375" w:type="pct"/>
            <w:vMerge w:val="continue"/>
            <w:tcBorders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5DCA215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120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C42C2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10. 冷库（冷藏冷冻库）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81CCA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395D6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√</w:t>
            </w:r>
          </w:p>
        </w:tc>
        <w:tc>
          <w:tcPr>
            <w:tcW w:w="257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6477B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开展冷藏冷冻药品物流业务的必配；配备2个及以上独立冷库，总容积原则上不少于500立方米；受托开展疫苗储存配送业务的，设置两个以上独立疫苗冷库，不可合并温区储存的疫苗冷库一用一备（第二十一条）</w:t>
            </w:r>
          </w:p>
        </w:tc>
      </w:tr>
      <w:tr w14:paraId="5E902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375" w:type="pct"/>
            <w:vMerge w:val="continue"/>
            <w:tcBorders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5747FFF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120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67D6B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11. 智能温湿度调控设备（中央空调系统等）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1E4DD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√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0BD23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257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019BE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符合相关环境指标要求，可调控库房温湿度及进行库房室内外空气交换（第十一条）</w:t>
            </w:r>
          </w:p>
        </w:tc>
      </w:tr>
      <w:tr w14:paraId="12AAB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375" w:type="pct"/>
            <w:vMerge w:val="continue"/>
            <w:tcBorders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C063AD4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120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5B91E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12. 视频监控设备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E55D7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√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B566F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257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8EA11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对库区主要作业区全覆盖监控，实时备份，工作图像留存不少于30日，特殊管理的药品留存不少于90日（第十一条）</w:t>
            </w:r>
          </w:p>
        </w:tc>
      </w:tr>
      <w:tr w14:paraId="52EE3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375" w:type="pct"/>
            <w:vMerge w:val="continue"/>
            <w:tcBorders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3E681D1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120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2908D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13. 双回路供电系统或者备用发电机组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1AAD0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√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83125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257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3EE5C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备用发电机组功率应当至少能够保障药品仓储作业区域的应急照明，确保冷库设备、温湿度监控设备、计算机控制室（区）及服务器数据中心正常运行（第十一条）</w:t>
            </w:r>
          </w:p>
        </w:tc>
      </w:tr>
      <w:tr w14:paraId="52133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255" w:hRule="atLeast"/>
        </w:trPr>
        <w:tc>
          <w:tcPr>
            <w:tcW w:w="375" w:type="pct"/>
            <w:vMerge w:val="continue"/>
            <w:tcBorders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BD48498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120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1742B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14. 计算机硬件系统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060C4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√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4BE7D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257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5C357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配置与药品经营规模相适应，确保系统持续正常平稳运行（第十八条）</w:t>
            </w:r>
          </w:p>
        </w:tc>
      </w:tr>
      <w:tr w14:paraId="3EB5A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375" w:type="pct"/>
            <w:vMerge w:val="continue"/>
            <w:tcBorders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B241F8E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120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24143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15. 网络交换机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11275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√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D8FC2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257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10845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配置与药品经营规模相适应的网络环境（第十八条）</w:t>
            </w:r>
          </w:p>
        </w:tc>
      </w:tr>
      <w:tr w14:paraId="4858C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830" w:hRule="atLeast"/>
        </w:trPr>
        <w:tc>
          <w:tcPr>
            <w:tcW w:w="375" w:type="pct"/>
            <w:vMerge w:val="continue"/>
            <w:tcBorders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57A1A75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120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E5E7A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16. 服务器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C53A4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√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CD5A5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257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696C7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配置与药品经营规模相适应（第十八条）</w:t>
            </w:r>
          </w:p>
        </w:tc>
      </w:tr>
      <w:tr w14:paraId="23562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375" w:type="pct"/>
            <w:vMerge w:val="continue"/>
            <w:tcBorders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9596156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120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2FAE5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17. 无线射频技术（RFID）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EEA37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√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DA2FD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257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0F322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用于药品信息识别与追踪管理（第十一条）</w:t>
            </w:r>
          </w:p>
        </w:tc>
      </w:tr>
      <w:tr w14:paraId="5B443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375" w:type="pct"/>
            <w:vMerge w:val="continue"/>
            <w:tcBorders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06939E8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120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83B0E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eastAsia="zh-CN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18. 手持终端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eastAsia="zh-CN"/>
                <w14:ligatures w14:val="none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RF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eastAsia="zh-CN"/>
                <w14:ligatures w14:val="none"/>
              </w:rPr>
              <w:t>）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80EB4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√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2728F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257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C19B2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与药品经营规模相适应（第十一条）</w:t>
            </w:r>
          </w:p>
        </w:tc>
      </w:tr>
      <w:tr w14:paraId="3FB0E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375" w:type="pct"/>
            <w:vMerge w:val="restar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A8DC630">
            <w:pPr>
              <w:widowControl/>
              <w:spacing w:after="0" w:line="37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</w:pPr>
            <w:r>
              <w:rPr>
                <w:rFonts w:hint="eastAsia" w:ascii="Segoe UI" w:hAnsi="Segoe UI" w:eastAsia="宋体" w:cs="Segoe UI"/>
                <w:kern w:val="0"/>
                <w:sz w:val="23"/>
                <w:szCs w:val="23"/>
                <w:lang w:val="en-US" w:eastAsia="zh-CN"/>
                <w14:ligatures w14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  <w:t>运</w:t>
            </w:r>
          </w:p>
          <w:p w14:paraId="2B680CDB">
            <w:pPr>
              <w:widowControl/>
              <w:spacing w:after="0" w:line="37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:lang w:val="en-US" w:eastAsia="zh-CN"/>
                <w14:ligatures w14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  <w:t>输</w:t>
            </w: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:lang w:val="en-US" w:eastAsia="zh-CN"/>
                <w14:ligatures w14:val="none"/>
              </w:rPr>
              <w:t xml:space="preserve"> </w:t>
            </w:r>
          </w:p>
          <w:p w14:paraId="1940A8DB">
            <w:pPr>
              <w:widowControl/>
              <w:spacing w:after="0" w:line="37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:lang w:val="en-US" w:eastAsia="zh-CN"/>
                <w14:ligatures w14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  <w:t>设</w:t>
            </w:r>
          </w:p>
          <w:p w14:paraId="65F33307">
            <w:pPr>
              <w:widowControl/>
              <w:spacing w:after="0" w:line="37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:lang w:val="en-US" w:eastAsia="zh-CN"/>
                <w14:ligatures w14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  <w:t>施</w:t>
            </w:r>
          </w:p>
          <w:p w14:paraId="01E3B490">
            <w:pPr>
              <w:widowControl/>
              <w:spacing w:after="0" w:line="37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:lang w:val="en-US" w:eastAsia="zh-CN"/>
                <w14:ligatures w14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  <w:t>设</w:t>
            </w:r>
          </w:p>
          <w:p w14:paraId="14B7AA9B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:lang w:val="en-US" w:eastAsia="zh-CN"/>
                <w14:ligatures w14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  <w:t>备</w:t>
            </w:r>
          </w:p>
        </w:tc>
        <w:tc>
          <w:tcPr>
            <w:tcW w:w="120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03228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1. 密闭式运输车辆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7A240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√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6A88D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257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9BBF7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不少于10辆（第二十二条）</w:t>
            </w:r>
          </w:p>
        </w:tc>
      </w:tr>
      <w:tr w14:paraId="06E22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375" w:type="pct"/>
            <w:vMerge w:val="continue"/>
            <w:tcBorders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1C6E549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120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B5E50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2. 冷藏车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63F47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B13C9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√</w:t>
            </w:r>
          </w:p>
        </w:tc>
        <w:tc>
          <w:tcPr>
            <w:tcW w:w="257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FDE94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运输冷藏冷冻药品的必配，不少于2辆；配备独立制冷制热电源、车载温度自动监测设备及远程数据传输系统（第十二条、第二十二条）</w:t>
            </w:r>
          </w:p>
        </w:tc>
      </w:tr>
      <w:tr w14:paraId="2B5B6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375" w:type="pct"/>
            <w:vMerge w:val="continue"/>
            <w:tcBorders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7DB9DCD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120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1E46B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3. 保温箱或车载冷藏箱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56262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B0BAD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√</w:t>
            </w:r>
          </w:p>
        </w:tc>
        <w:tc>
          <w:tcPr>
            <w:tcW w:w="257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18A56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经营冷链药品的必配（第十二条）</w:t>
            </w:r>
          </w:p>
        </w:tc>
      </w:tr>
      <w:tr w14:paraId="1B5E6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375" w:type="pct"/>
            <w:vMerge w:val="continue"/>
            <w:tcBorders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C81FBD9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120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B8801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4. 车载温度自动监测设备及远程数据传输系统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D2165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9B5A1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√</w:t>
            </w:r>
          </w:p>
        </w:tc>
        <w:tc>
          <w:tcPr>
            <w:tcW w:w="257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FE945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冷藏车配套必配，对冷藏、冷冻药品运输温度实时监测并远程传输（第十二条）</w:t>
            </w:r>
          </w:p>
        </w:tc>
      </w:tr>
      <w:tr w14:paraId="168B0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375" w:type="pct"/>
            <w:vMerge w:val="continue"/>
            <w:tcBorders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0081D54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120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E462C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5. 车辆卫星定位设备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2414B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√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52B44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257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526F0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对车辆运输状态进行实时监测（第十二条）</w:t>
            </w:r>
          </w:p>
        </w:tc>
      </w:tr>
      <w:tr w14:paraId="4C523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375" w:type="pct"/>
            <w:vMerge w:val="restar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61EFA90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  <w:r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  <w:t>信息化管理系统</w:t>
            </w:r>
          </w:p>
        </w:tc>
        <w:tc>
          <w:tcPr>
            <w:tcW w:w="120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ADC25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1. 企业资源计划管理系统（ERP）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01E2C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√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750EB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257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E28F4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应</w:t>
            </w: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覆盖药品经营活动管理全过程（第十六条）</w:t>
            </w:r>
          </w:p>
        </w:tc>
      </w:tr>
      <w:tr w14:paraId="164A1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375" w:type="pct"/>
            <w:vMerge w:val="continue"/>
            <w:tcBorders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1CE0BCC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120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516F6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2. 仓储管理系统（WMS）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135B5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√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E992F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257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07B5F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应与ERP、WCS、TMS数据实时、准确对接，具备全程货物查询和追踪功能（第十六条）</w:t>
            </w:r>
          </w:p>
        </w:tc>
      </w:tr>
      <w:tr w14:paraId="25A5C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375" w:type="pct"/>
            <w:vMerge w:val="continue"/>
            <w:tcBorders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E73925C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120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16F32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3. 设备控制系统（WCS）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15C08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√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ECA40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257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FE76E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实现仓储各作业环节自动、连续的物流传送，与仓储管理系统实时数据对接（第十六条）</w:t>
            </w:r>
          </w:p>
        </w:tc>
      </w:tr>
      <w:tr w14:paraId="1FB66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375" w:type="pct"/>
            <w:vMerge w:val="continue"/>
            <w:tcBorders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363A2DC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120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318AD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4. 运输管理系统（TMS）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76DC2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√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46484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257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9228C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对运输计划、品种、数量、批号、工具、人员、发货时间、到货时间、在途运输轨迹、签收及冷链药品温度等进行跟踪、记录、调度（第十六条）</w:t>
            </w:r>
          </w:p>
        </w:tc>
      </w:tr>
      <w:tr w14:paraId="43284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375" w:type="pct"/>
            <w:vMerge w:val="continue"/>
            <w:tcBorders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D1FE726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120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79260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5. 全球定位系统（GPS）或北斗导航系统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44314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√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F62FC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257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020F3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对车辆运输状态进行实时监测（第十二条）</w:t>
            </w:r>
          </w:p>
        </w:tc>
      </w:tr>
      <w:tr w14:paraId="15B93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375" w:type="pct"/>
            <w:vMerge w:val="continue"/>
            <w:tcBorders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090F464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120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2560B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6. 温湿度自动监测系统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3154C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√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113ED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257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5F657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对仓库温湿度及冷藏、冷冻药品运输温度开展实时监测、记录及异常报警（第十六条）</w:t>
            </w:r>
          </w:p>
        </w:tc>
      </w:tr>
      <w:tr w14:paraId="5DFB0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375" w:type="pct"/>
            <w:vMerge w:val="continue"/>
            <w:tcBorders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396001B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120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C4DBD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7. 药品追溯系统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7D475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√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C7555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257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7E360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实现药品各级包装单元的可关联追溯、可核查，保证追溯数据真实、准确、完整、不可篡改（第四条、第十六条）</w:t>
            </w:r>
          </w:p>
        </w:tc>
      </w:tr>
      <w:tr w14:paraId="7B7A7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375" w:type="pct"/>
            <w:vMerge w:val="continue"/>
            <w:tcBorders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1235393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120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72FF6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8. 库区视频监控系统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43166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√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DC81C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257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D70EF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应与视频监控设备联动，实现实时备份（第十一条）</w:t>
            </w:r>
          </w:p>
        </w:tc>
      </w:tr>
      <w:tr w14:paraId="6874E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375" w:type="pct"/>
            <w:vMerge w:val="continue"/>
            <w:tcBorders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A43926A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120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BBBCC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9. 操作系统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1DDAB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√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26C46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257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6DA1B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操作系统、数据库、网络安全与应用安全管理等软件应与药品经营规模相适应（第十五条）</w:t>
            </w:r>
          </w:p>
        </w:tc>
      </w:tr>
      <w:tr w14:paraId="04C78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375" w:type="pct"/>
            <w:vMerge w:val="continue"/>
            <w:tcBorders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39CE342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120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5DFE0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10. 数据库软件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E61A7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√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47D74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257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A351E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保证各类记录真实、准确、安全和可追溯（第十五条）</w:t>
            </w:r>
          </w:p>
        </w:tc>
      </w:tr>
      <w:tr w14:paraId="649F2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375" w:type="pct"/>
            <w:vMerge w:val="continue"/>
            <w:tcBorders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51A5AE4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120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CF91C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11. 网络安全软件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C786F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√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12D03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257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E1B07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满足网络安全与应用安全管理需要（第十五条）</w:t>
            </w:r>
          </w:p>
        </w:tc>
      </w:tr>
      <w:tr w14:paraId="701DD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375" w:type="pct"/>
            <w:vMerge w:val="continue"/>
            <w:tcBorders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A533FF4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120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0FB51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12. 数据备份系统（异地服务器、多机热备或云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eastAsia="zh-CN"/>
                <w14:ligatures w14:val="none"/>
              </w:rPr>
              <w:t>存储</w:t>
            </w: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等）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C3116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√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9A34A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257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9E026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数据按日备份；符合《药品记录与数据管理要求（试行）》（国家药监局公告2020年第74号）要求，其他系统数据记录至少保存5年，且不少于药品有效期满后1年（第十八条）</w:t>
            </w:r>
          </w:p>
        </w:tc>
      </w:tr>
      <w:tr w14:paraId="2E10E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375" w:type="pct"/>
            <w:vMerge w:val="continue"/>
            <w:tcBorders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F6A6FCF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120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EE630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13. 信息交换平台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31B3F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  <w:t>√</w:t>
            </w:r>
          </w:p>
        </w:tc>
        <w:tc>
          <w:tcPr>
            <w:tcW w:w="4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0772D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257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01AFB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3"/>
                <w:szCs w:val="23"/>
                <w:lang w:val="en-US" w:eastAsia="zh-CN"/>
                <w14:ligatures w14:val="none"/>
              </w:rPr>
              <w:t>支持与委托方物流作业数据信息交换，对委托方药品收货、验收、入库、储存、养护、出库、运输、退回等全过程作业指令有效传达，实现药品委托储存运输全过程质量管理，具备全程货物查询、追溯功能；确保不同委托方数据记录互不干扰和混淆（第二十三条）</w:t>
            </w:r>
          </w:p>
        </w:tc>
      </w:tr>
    </w:tbl>
    <w:p w14:paraId="46BEC691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456" w:firstLineChars="200"/>
        <w:textAlignment w:val="auto"/>
        <w:rPr>
          <w:rFonts w:hint="default" w:ascii="Times New Roman" w:hAnsi="Times New Roman" w:eastAsia="仿宋_GB2312" w:cs="Times New Roman"/>
          <w:sz w:val="24"/>
          <w:szCs w:val="24"/>
        </w:rPr>
      </w:pPr>
      <w:r>
        <w:rPr>
          <w:rFonts w:hint="default" w:ascii="Times New Roman" w:hAnsi="Times New Roman" w:eastAsia="仿宋_GB2312" w:cs="Times New Roman"/>
          <w:sz w:val="24"/>
          <w:szCs w:val="24"/>
        </w:rPr>
        <w:t>注：1.仓库药品储存作业区整体使用面积原则上不低于10000平方米或总容积不少于60000立方米，其中阴凉库使用面积不少于5000平方米（《办法》第二十一条）。2.标注“√”为应当配备项；“选配”项按经营范围、经营规模或业务需要配备，备注中注明“必配”的，开展相应业务时必须配备。</w:t>
      </w:r>
    </w:p>
    <w:p w14:paraId="27F9E95E">
      <w:pPr>
        <w:rPr>
          <w:rFonts w:ascii="宋体" w:hAnsi="宋体" w:eastAsia="宋体" w:cs="宋体"/>
          <w:kern w:val="0"/>
          <w:sz w:val="24"/>
          <w14:ligatures w14:val="none"/>
        </w:rPr>
      </w:pPr>
    </w:p>
    <w:sectPr>
      <w:headerReference r:id="rId5" w:type="default"/>
      <w:footerReference r:id="rId7" w:type="default"/>
      <w:headerReference r:id="rId6" w:type="even"/>
      <w:footerReference r:id="rId8" w:type="even"/>
      <w:pgSz w:w="11906" w:h="16838"/>
      <w:pgMar w:top="2098" w:right="1474" w:bottom="1984" w:left="1587" w:header="851" w:footer="1417" w:gutter="0"/>
      <w:pgNumType w:fmt="decimal" w:start="1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ambria">
    <w:altName w:val="Noto Sans Syriac Eastern"/>
    <w:panose1 w:val="02040503050406030204"/>
    <w:charset w:val="00"/>
    <w:family w:val="auto"/>
    <w:pitch w:val="default"/>
    <w:sig w:usb0="00000000" w:usb1="00000000" w:usb2="02000000" w:usb3="00000000" w:csb0="2000019F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方正公文小标宋">
    <w:altName w:val="方正小标宋简体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Segoe UI">
    <w:altName w:val="Noto Naskh Arabic"/>
    <w:panose1 w:val="020B0502040204020203"/>
    <w:charset w:val="00"/>
    <w:family w:val="swiss"/>
    <w:pitch w:val="default"/>
    <w:sig w:usb0="00000000" w:usb1="00000000" w:usb2="00000009" w:usb3="00000000" w:csb0="200001FF" w:csb1="00000000"/>
  </w:font>
  <w:font w:name="Noto Naskh Arabic">
    <w:panose1 w:val="020B0502040504020204"/>
    <w:charset w:val="00"/>
    <w:family w:val="auto"/>
    <w:pitch w:val="default"/>
    <w:sig w:usb0="80002003" w:usb1="80002000" w:usb2="00000008" w:usb3="00000000" w:csb0="00000041" w:csb1="0008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05D7DE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D7E7A4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AyJkQw3AgAAawQAAA4AAABkcnMvZTJvRG9jLnhtbK1UzY7T&#10;MBC+I/EOlu80aVesqqrpqmxVhFSxKy2Is+s4jSX/yXablAeAN+DEhTvP1efgc5J2YeGwBy7OeGY8&#10;M983M5nftFqRg/BBWlPQ8SinRBhuS2l2Bf34Yf1qSkmIzJRMWSMKehSB3ixevpg3biYmtraqFJ4g&#10;iAmzxhW0jtHNsizwWmgWRtYJA2NlvWYRV7/LSs8aRNcqm+T5ddZYXzpvuQgB2lVvpENE/5yAtqok&#10;FyvL91qY2Ef1QrEISKGWLtBFV21VCR7vqiqISFRBgTR2J5JA3qYzW8zZbOeZqyUfSmDPKeEJJs2k&#10;QdJLqBWLjOy9/CuUltzbYKs44lZnPZCOEaAY50+4eaiZEx0WUB3chfTw/8Ly94d7T2SJSaDEMI2G&#10;n759PX3/efrxhYwTPY0LM3g9OPjF9o1tk+ugD1Am1G3ldfoCD4Ed5B4v5Io2Ep4eTSfTaQ4Th+18&#10;QZzs8bnzIb4VVpMkFNSjex2p7LAJsXc9u6Rsxq6lUtCzmTKkKej11eu8e3CxILgyyJFA9MUmKbbb&#10;dkCwteURwLztJyM4vpZIvmEh3jOPUUDBWJZ4h6NSFknsIFFSW//5X/rkjw7BSkmD0SqowSZRot4Z&#10;dG6SX2ENMIrdDYL/Q709q81e31pMLfqCqjoxOUd1Fitv9Sfs0jJlg4kZjpwFjWfxNvaDjl3kYrns&#10;nPbOy13dP8AEOhY35sHxlCbxGNxyH0Frx3aiqudnYBAz2PVr2Jc05L/fO6/Hf8Ti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AMiZEMNwIAAGs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08D7E7A4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EB4D73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271EE5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HN51Lo4AgAAawQAAA4AAABkcnMvZTJvRG9jLnhtbK1UzY7T&#10;MBC+I/EOlu80aVesqqrpqmxVhFSxKy2Is+s4TST/yXablAeAN+DEhTvP1efgs5N2YeGwBy7OeGY8&#10;M983M5nfdEqSg3C+Mbqg41FOidDclI3eFfTjh/WrKSU+MF0yabQo6FF4erN4+WLe2pmYmNrIUjiC&#10;INrPWlvQOgQ7yzLPa6GYHxkrNIyVcYoFXN0uKx1rEV3JbJLn11lrXGmd4cJ7aFe9kQ4R3XMCmqpq&#10;uFgZvldChz6qE5IFQPJ1Yz1dpGqrSvBwV1VeBCILCqQhnUgCeRvPbDFns51jtm74UAJ7TglPMCnW&#10;aCS9hFqxwMjeNX+FUg13xpsqjLhRWQ8kMQIU4/wJNw81syJhAdXeXkj3/y8sf3+4d6QpCzqhRDOF&#10;hp++fT19/3n68YVMIj2t9TN4PVj4he6N6TA0Z72HMqLuKqfiF3gI7CD3eCFXdIHw+Gg6mU5zmDhs&#10;5wviZ4/PrfPhrTCKRKGgDt1LpLLDxofe9ewSs2mzbqRMHZSatAW9vnqdpwcXC4JLjRwRRF9slEK3&#10;7QZkW1MeAcyZfjK85esGyTfMh3vmMAooGMsS7nBU0iCJGSRKauM+/0sf/dEhWClpMVoF1dgkSuQ7&#10;jc5N8iusAUYx3SC4P9Tbs1rv1a3B1I6xjpYnMToHeRYrZ9Qn7NIyZoOJaY6cBQ1n8Tb0g45d5GK5&#10;TE5765pd3T/ABFoWNvrB8pgmUurtch9Aa2I7UtXzMzCIGUz9GvYlDvnv9+T1+I9Y/A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GpUrO1gAAAAYBAAAPAAAAAAAAAAEAIAAAACIAAABkcnMvZG93bnJl&#10;di54bWxQSwECFAAUAAAACACHTuJAc3nUujgCAABr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0A271EE5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D1B61A">
    <w:pPr>
      <w:pStyle w:val="1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25102B">
    <w:pPr>
      <w:pStyle w:val="1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evenAndOddHeaders w:val="1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292"/>
    <w:rsid w:val="00377076"/>
    <w:rsid w:val="00444DBE"/>
    <w:rsid w:val="00602343"/>
    <w:rsid w:val="00602367"/>
    <w:rsid w:val="009D6922"/>
    <w:rsid w:val="00A531AA"/>
    <w:rsid w:val="00E12292"/>
    <w:rsid w:val="051C4117"/>
    <w:rsid w:val="07501138"/>
    <w:rsid w:val="102B426F"/>
    <w:rsid w:val="1B83226B"/>
    <w:rsid w:val="24483535"/>
    <w:rsid w:val="38B61AAF"/>
    <w:rsid w:val="3EC130C0"/>
    <w:rsid w:val="406E3F37"/>
    <w:rsid w:val="44B850F1"/>
    <w:rsid w:val="484649A0"/>
    <w:rsid w:val="5019541D"/>
    <w:rsid w:val="52DA4D5A"/>
    <w:rsid w:val="538711FC"/>
    <w:rsid w:val="6695278D"/>
    <w:rsid w:val="7BDD7FD2"/>
    <w:rsid w:val="7FE3AA15"/>
    <w:rsid w:val="FFFF6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officialmode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next w:val="1"/>
    <w:qFormat/>
    <w:uiPriority w:val="9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semiHidden/>
    <w:unhideWhenUsed/>
    <w:qFormat/>
    <w:uiPriority w:val="9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next w:val="1"/>
    <w:unhideWhenUsed/>
    <w:qFormat/>
    <w:uiPriority w:val="9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5">
    <w:name w:val="heading 4"/>
    <w:next w:val="1"/>
    <w:semiHidden/>
    <w:unhideWhenUsed/>
    <w:qFormat/>
    <w:uiPriority w:val="9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6">
    <w:name w:val="heading 5"/>
    <w:next w:val="1"/>
    <w:semiHidden/>
    <w:unhideWhenUsed/>
    <w:qFormat/>
    <w:uiPriority w:val="9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6"/>
    <w:next w:val="1"/>
    <w:semiHidden/>
    <w:unhideWhenUsed/>
    <w:qFormat/>
    <w:uiPriority w:val="9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7"/>
    <w:next w:val="1"/>
    <w:semiHidden/>
    <w:unhideWhenUsed/>
    <w:qFormat/>
    <w:uiPriority w:val="9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8"/>
    <w:next w:val="1"/>
    <w:semiHidden/>
    <w:unhideWhenUsed/>
    <w:qFormat/>
    <w:uiPriority w:val="9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9"/>
    <w:next w:val="1"/>
    <w:semiHidden/>
    <w:unhideWhenUsed/>
    <w:qFormat/>
    <w:uiPriority w:val="9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1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Subtitle"/>
    <w:next w:val="1"/>
    <w:qFormat/>
    <w:uiPriority w:val="11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15">
    <w:name w:val="Title"/>
    <w:next w:val="1"/>
    <w:link w:val="27"/>
    <w:qFormat/>
    <w:uiPriority w:val="1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character" w:customStyle="1" w:styleId="18">
    <w:name w:val="标题 1 字符"/>
    <w:basedOn w:val="17"/>
    <w:qFormat/>
    <w:uiPriority w:val="9"/>
    <w:rPr>
      <w:rFonts w:asciiTheme="majorHAnsi" w:hAnsiTheme="majorHAnsi" w:eastAsiaTheme="majorEastAsia" w:cstheme="majorBidi"/>
      <w:color w:val="376092" w:themeColor="accent1" w:themeShade="BF"/>
      <w:sz w:val="48"/>
      <w:szCs w:val="48"/>
    </w:rPr>
  </w:style>
  <w:style w:type="character" w:customStyle="1" w:styleId="19">
    <w:name w:val="标题 2 字符"/>
    <w:basedOn w:val="17"/>
    <w:semiHidden/>
    <w:qFormat/>
    <w:uiPriority w:val="9"/>
    <w:rPr>
      <w:rFonts w:asciiTheme="majorHAnsi" w:hAnsiTheme="majorHAnsi" w:eastAsiaTheme="majorEastAsia" w:cstheme="majorBidi"/>
      <w:color w:val="376092" w:themeColor="accent1" w:themeShade="BF"/>
      <w:sz w:val="40"/>
      <w:szCs w:val="40"/>
    </w:rPr>
  </w:style>
  <w:style w:type="character" w:customStyle="1" w:styleId="20">
    <w:name w:val="标题 3 字符"/>
    <w:basedOn w:val="17"/>
    <w:qFormat/>
    <w:uiPriority w:val="9"/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character" w:customStyle="1" w:styleId="21">
    <w:name w:val="标题 4 字符"/>
    <w:basedOn w:val="17"/>
    <w:semiHidden/>
    <w:qFormat/>
    <w:uiPriority w:val="9"/>
    <w:rPr>
      <w:rFonts w:cstheme="majorBidi"/>
      <w:color w:val="376092" w:themeColor="accent1" w:themeShade="BF"/>
      <w:sz w:val="28"/>
      <w:szCs w:val="28"/>
    </w:rPr>
  </w:style>
  <w:style w:type="character" w:customStyle="1" w:styleId="22">
    <w:name w:val="标题 5 字符"/>
    <w:basedOn w:val="17"/>
    <w:semiHidden/>
    <w:qFormat/>
    <w:uiPriority w:val="9"/>
    <w:rPr>
      <w:rFonts w:cstheme="majorBidi"/>
      <w:color w:val="376092" w:themeColor="accent1" w:themeShade="BF"/>
      <w:sz w:val="24"/>
    </w:rPr>
  </w:style>
  <w:style w:type="character" w:customStyle="1" w:styleId="23">
    <w:name w:val="标题 6 字符"/>
    <w:basedOn w:val="17"/>
    <w:semiHidden/>
    <w:qFormat/>
    <w:uiPriority w:val="9"/>
    <w:rPr>
      <w:rFonts w:cstheme="majorBidi"/>
      <w:b/>
      <w:bCs/>
      <w:color w:val="376092" w:themeColor="accent1" w:themeShade="BF"/>
    </w:rPr>
  </w:style>
  <w:style w:type="character" w:customStyle="1" w:styleId="24">
    <w:name w:val="标题 7 字符"/>
    <w:basedOn w:val="17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link w:val="15"/>
    <w:qFormat/>
    <w:uiPriority w:val="10"/>
    <w:rPr>
      <w:rFonts w:ascii="宋体" w:hAnsi="宋体" w:eastAsia="宋体" w:cs="宋体"/>
      <w:sz w:val="44"/>
      <w:szCs w:val="44"/>
      <w:lang w:val="zh-CN"/>
    </w:rPr>
  </w:style>
  <w:style w:type="character" w:customStyle="1" w:styleId="28">
    <w:name w:val="副标题 字符"/>
    <w:basedOn w:val="17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7"/>
    <w:qFormat/>
    <w:uiPriority w:val="21"/>
    <w:rPr>
      <w:i/>
      <w:iCs/>
      <w:color w:val="37609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366091" w:themeColor="accent1" w:themeShade="BF" w:sz="4" w:space="10"/>
        <w:bottom w:val="single" w:color="3660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76092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376092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376092" w:themeColor="accent1" w:themeShade="BF"/>
      <w:spacing w:val="5"/>
    </w:rPr>
  </w:style>
  <w:style w:type="paragraph" w:customStyle="1" w:styleId="36">
    <w:name w:val="附录标题"/>
    <w:next w:val="1"/>
    <w:qFormat/>
    <w:uiPriority w:val="0"/>
    <w:pPr>
      <w:overflowPunct w:val="0"/>
      <w:topLinePunct/>
      <w:spacing w:line="560" w:lineRule="exact"/>
      <w:jc w:val="left"/>
      <w:outlineLvl w:val="0"/>
    </w:pPr>
    <w:rPr>
      <w:rFonts w:ascii="黑体" w:hAnsi="黑体" w:eastAsia="黑体" w:cs="黑体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6c3bf51f-d7a8-48cc-8f0c-36633e557c6f</errorID>
      <errorWord xmlns="http://schemas.wps.cn/vas-ai-hub/contract-review">自动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 自动</item>
      </candidateList>
      <explain xmlns="http://schemas.wps.cn/vas-ai-hub/contract-review"/>
      <paraID xmlns="http://schemas.wps.cn/vas-ai-hub/contract-review">49AC8F92</paraID>
      <start xmlns="http://schemas.wps.cn/vas-ai-hub/contract-review">2</start>
      <end xmlns="http://schemas.wps.cn/vas-ai-hub/contract-review">5</end>
      <status xmlns="http://schemas.wps.cn/vas-ai-hub/contract-review">modified</status>
      <modifiedWord xmlns="http://schemas.wps.cn/vas-ai-hub/contract-review"> 自动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cfcb4b68-89ce-4f22-9f56-6b4a74af8890</errorID>
      <errorWord xmlns="http://schemas.wps.cn/vas-ai-hub/contract-review">储存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存储</item>
      </candidateList>
      <explain xmlns="http://schemas.wps.cn/vas-ai-hub/contract-review"/>
      <paraID xmlns="http://schemas.wps.cn/vas-ai-hub/contract-review">50FB5154</paraID>
      <start xmlns="http://schemas.wps.cn/vas-ai-hub/contract-review">23</start>
      <end xmlns="http://schemas.wps.cn/vas-ai-hub/contract-review">25</end>
      <status xmlns="http://schemas.wps.cn/vas-ai-hub/contract-review">modified</status>
      <modifiedWord xmlns="http://schemas.wps.cn/vas-ai-hub/contract-review">存储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54bf1131-520e-4326-91c6-4d461f53361c</errorID>
      <errorWord xmlns="http://schemas.wps.cn/vas-ai-hub/contract-review">、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和</item>
      </candidateList>
      <explain xmlns="http://schemas.wps.cn/vas-ai-hub/contract-review"/>
      <paraID xmlns="http://schemas.wps.cn/vas-ai-hub/contract-review">59484A20</paraID>
      <start xmlns="http://schemas.wps.cn/vas-ai-hub/contract-review">55</start>
      <end xmlns="http://schemas.wps.cn/vas-ai-hub/contract-review">56</end>
      <status xmlns="http://schemas.wps.cn/vas-ai-hub/contract-review">modified</status>
      <modifiedWord xmlns="http://schemas.wps.cn/vas-ai-hub/contract-review">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61d325ee-a947-4f6e-9c16-d2b6c6d2cbcb</errorID>
      <errorWord xmlns="http://schemas.wps.cn/vas-ai-hub/contract-review">对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其对</item>
      </candidateList>
      <explain xmlns="http://schemas.wps.cn/vas-ai-hub/contract-review"/>
      <paraID xmlns="http://schemas.wps.cn/vas-ai-hub/contract-review">61DD118F</paraID>
      <start xmlns="http://schemas.wps.cn/vas-ai-hub/contract-review">0</start>
      <end xmlns="http://schemas.wps.cn/vas-ai-hub/contract-review">1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2edae0d7-d403-451b-b2e3-a6a1aad93052</errorID>
      <errorWord xmlns="http://schemas.wps.cn/vas-ai-hub/contract-review">及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和</item>
      </candidateList>
      <explain xmlns="http://schemas.wps.cn/vas-ai-hub/contract-review"/>
      <paraID xmlns="http://schemas.wps.cn/vas-ai-hub/contract-review">4F3842EB</paraID>
      <start xmlns="http://schemas.wps.cn/vas-ai-hub/contract-review">27</start>
      <end xmlns="http://schemas.wps.cn/vas-ai-hub/contract-review">28</end>
      <status xmlns="http://schemas.wps.cn/vas-ai-hub/contract-review">modified</status>
      <modifiedWord xmlns="http://schemas.wps.cn/vas-ai-hub/contract-review">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337f427d-e130-4cef-b401-7fa29ce8c165</errorID>
      <errorWord xmlns="http://schemas.wps.cn/vas-ai-hub/contract-review">、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和</item>
      </candidateList>
      <explain xmlns="http://schemas.wps.cn/vas-ai-hub/contract-review"/>
      <paraID xmlns="http://schemas.wps.cn/vas-ai-hub/contract-review">6C7A2B94</paraID>
      <start xmlns="http://schemas.wps.cn/vas-ai-hub/contract-review">16</start>
      <end xmlns="http://schemas.wps.cn/vas-ai-hub/contract-review">17</end>
      <status xmlns="http://schemas.wps.cn/vas-ai-hub/contract-review">modified</status>
      <modifiedWord xmlns="http://schemas.wps.cn/vas-ai-hub/contract-review">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e2220135-9915-42d9-8a29-15812b293bf8</errorID>
      <errorWord xmlns="http://schemas.wps.cn/vas-ai-hub/contract-review">实现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并实现</item>
      </candidateList>
      <explain xmlns="http://schemas.wps.cn/vas-ai-hub/contract-review"/>
      <paraID xmlns="http://schemas.wps.cn/vas-ai-hub/contract-review">38B762E1</paraID>
      <start xmlns="http://schemas.wps.cn/vas-ai-hub/contract-review">10</start>
      <end xmlns="http://schemas.wps.cn/vas-ai-hub/contract-review">13</end>
      <status xmlns="http://schemas.wps.cn/vas-ai-hub/contract-review">modified</status>
      <modifiedWord xmlns="http://schemas.wps.cn/vas-ai-hub/contract-review">并实现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7f73d394-954d-4d7d-8c31-9d85564af9e7</errorID>
      <errorWord xmlns="http://schemas.wps.cn/vas-ai-hub/contract-review">应</errorWord>
      <group xmlns="http://schemas.wps.cn/vas-ai-hub/contract-review">L1_Grammar</group>
      <groupName xmlns="http://schemas.wps.cn/vas-ai-hub/contract-review">语法问题</groupName>
      <ability xmlns="http://schemas.wps.cn/vas-ai-hub/contract-review">L2_Grammar</ability>
      <abilityName xmlns="http://schemas.wps.cn/vas-ai-hub/contract-review">语法错误</abilityName>
      <candidateList xmlns="http://schemas.wps.cn/vas-ai-hub/contract-review">
        <item xmlns="http://schemas.wps.cn/vas-ai-hub/contract-review">配置应</item>
      </candidateList>
      <explain xmlns="http://schemas.wps.cn/vas-ai-hub/contract-review"/>
      <paraID xmlns="http://schemas.wps.cn/vas-ai-hub/contract-review">39F979F1</paraID>
      <start xmlns="http://schemas.wps.cn/vas-ai-hub/contract-review">23</start>
      <end xmlns="http://schemas.wps.cn/vas-ai-hub/contract-review">24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040046ac-9fd7-4319-a2cc-cae11798bd79</errorID>
      <errorWord xmlns="http://schemas.wps.cn/vas-ai-hub/contract-review">和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且</item>
      </candidateList>
      <explain xmlns="http://schemas.wps.cn/vas-ai-hub/contract-review"/>
      <paraID xmlns="http://schemas.wps.cn/vas-ai-hub/contract-review">562014CE</paraID>
      <start xmlns="http://schemas.wps.cn/vas-ai-hub/contract-review">14</start>
      <end xmlns="http://schemas.wps.cn/vas-ai-hub/contract-review">15</end>
      <status xmlns="http://schemas.wps.cn/vas-ai-hub/contract-review">modified</status>
      <modifiedWord xmlns="http://schemas.wps.cn/vas-ai-hub/contract-review">且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2a620175-9e90-47ff-9313-113437d213be</errorID>
      <errorWord xmlns="http://schemas.wps.cn/vas-ai-hub/contract-review">需要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的需要</item>
      </candidateList>
      <explain xmlns="http://schemas.wps.cn/vas-ai-hub/contract-review"/>
      <paraID xmlns="http://schemas.wps.cn/vas-ai-hub/contract-review">2608CF5B</paraID>
      <start xmlns="http://schemas.wps.cn/vas-ai-hub/contract-review">13</start>
      <end xmlns="http://schemas.wps.cn/vas-ai-hub/contract-review">15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4082a43b-99c7-40e2-a783-b9e385f9f5fe</errorID>
      <errorWord xmlns="http://schemas.wps.cn/vas-ai-hub/contract-review">数据按日备份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进行数据备份</item>
      </candidateList>
      <explain xmlns="http://schemas.wps.cn/vas-ai-hub/contract-review"/>
      <paraID xmlns="http://schemas.wps.cn/vas-ai-hub/contract-review">7AB79BED</paraID>
      <start xmlns="http://schemas.wps.cn/vas-ai-hub/contract-review">0</start>
      <end xmlns="http://schemas.wps.cn/vas-ai-hub/contract-review">6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8e665c93-df10-4849-92cb-a051db431fdf</errorID>
      <errorWord xmlns="http://schemas.wps.cn/vas-ai-hub/contract-review">不少</errorWord>
      <group xmlns="http://schemas.wps.cn/vas-ai-hub/contract-review">L1_Grammar</group>
      <groupName xmlns="http://schemas.wps.cn/vas-ai-hub/contract-review">语法问题</groupName>
      <ability xmlns="http://schemas.wps.cn/vas-ai-hub/contract-review">L2_Grammar</ability>
      <abilityName xmlns="http://schemas.wps.cn/vas-ai-hub/contract-review">语法错误</abilityName>
      <candidateList xmlns="http://schemas.wps.cn/vas-ai-hub/contract-review">
        <item xmlns="http://schemas.wps.cn/vas-ai-hub/contract-review">保存期限不少</item>
      </candidateList>
      <explain xmlns="http://schemas.wps.cn/vas-ai-hub/contract-review"/>
      <paraID xmlns="http://schemas.wps.cn/vas-ai-hub/contract-review">7AB79BED</paraID>
      <start xmlns="http://schemas.wps.cn/vas-ai-hub/contract-review">23</start>
      <end xmlns="http://schemas.wps.cn/vas-ai-hub/contract-review">25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521d361a-fc56-4706-b54d-8d18e5540566</errorID>
      <errorWord xmlns="http://schemas.wps.cn/vas-ai-hub/contract-review">，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。</item>
      </candidateList>
      <explain xmlns="http://schemas.wps.cn/vas-ai-hub/contract-review"/>
      <paraID xmlns="http://schemas.wps.cn/vas-ai-hub/contract-review">7946831B</paraID>
      <start xmlns="http://schemas.wps.cn/vas-ai-hub/contract-review">66</start>
      <end xmlns="http://schemas.wps.cn/vas-ai-hub/contract-review">67</end>
      <status xmlns="http://schemas.wps.cn/vas-ai-hub/contract-review">modified</status>
      <modifiedWord xmlns="http://schemas.wps.cn/vas-ai-hub/contract-review">。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37ab20dd-e96e-4131-98de-98ed61129f69</errorID>
      <errorWord xmlns="http://schemas.wps.cn/vas-ai-hub/contract-review">一位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一物</item>
      </candidateList>
      <explain xmlns="http://schemas.wps.cn/vas-ai-hub/contract-review"/>
      <paraID xmlns="http://schemas.wps.cn/vas-ai-hub/contract-review">4D71DEF6</paraID>
      <start xmlns="http://schemas.wps.cn/vas-ai-hub/contract-review">18</start>
      <end xmlns="http://schemas.wps.cn/vas-ai-hub/contract-review">20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11d11efd-0606-4fff-96eb-4e5a71bb7b11</errorID>
      <errorWord xmlns="http://schemas.wps.cn/vas-ai-hub/contract-review">信息</errorWord>
      <group xmlns="http://schemas.wps.cn/vas-ai-hub/contract-review">L1_Grammar</group>
      <groupName xmlns="http://schemas.wps.cn/vas-ai-hub/contract-review">语法问题</groupName>
      <ability xmlns="http://schemas.wps.cn/vas-ai-hub/contract-review">L2_Grammar</ability>
      <abilityName xmlns="http://schemas.wps.cn/vas-ai-hub/contract-review">语法错误</abilityName>
      <candidateList xmlns="http://schemas.wps.cn/vas-ai-hub/contract-review">
        <item xmlns="http://schemas.wps.cn/vas-ai-hub/contract-review">属于信息</item>
      </candidateList>
      <explain xmlns="http://schemas.wps.cn/vas-ai-hub/contract-review"/>
      <paraID xmlns="http://schemas.wps.cn/vas-ai-hub/contract-review">29F2F208</paraID>
      <start xmlns="http://schemas.wps.cn/vas-ai-hub/contract-review">0</start>
      <end xmlns="http://schemas.wps.cn/vas-ai-hub/contract-review">2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811d4b95-7914-4e9d-b41c-2ff2521e7ce8</errorID>
      <errorWord xmlns="http://schemas.wps.cn/vas-ai-hub/contract-review">信息</errorWord>
      <group xmlns="http://schemas.wps.cn/vas-ai-hub/contract-review">L1_Grammar</group>
      <groupName xmlns="http://schemas.wps.cn/vas-ai-hub/contract-review">语法问题</groupName>
      <ability xmlns="http://schemas.wps.cn/vas-ai-hub/contract-review">L2_Grammar</ability>
      <abilityName xmlns="http://schemas.wps.cn/vas-ai-hub/contract-review">语法错误</abilityName>
      <candidateList xmlns="http://schemas.wps.cn/vas-ai-hub/contract-review">
        <item xmlns="http://schemas.wps.cn/vas-ai-hub/contract-review">属于信息</item>
      </candidateList>
      <explain xmlns="http://schemas.wps.cn/vas-ai-hub/contract-review"/>
      <paraID xmlns="http://schemas.wps.cn/vas-ai-hub/contract-review">11DCAC8C</paraID>
      <start xmlns="http://schemas.wps.cn/vas-ai-hub/contract-review">0</start>
      <end xmlns="http://schemas.wps.cn/vas-ai-hub/contract-review">2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b177fcbd-cf92-490c-a126-af088bd776ae</errorID>
      <errorWord xmlns="http://schemas.wps.cn/vas-ai-hub/contract-review">及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并</item>
      </candidateList>
      <explain xmlns="http://schemas.wps.cn/vas-ai-hub/contract-review"/>
      <paraID xmlns="http://schemas.wps.cn/vas-ai-hub/contract-review"> E8CB47B</paraID>
      <start xmlns="http://schemas.wps.cn/vas-ai-hub/contract-review">19</start>
      <end xmlns="http://schemas.wps.cn/vas-ai-hub/contract-review">20</end>
      <status xmlns="http://schemas.wps.cn/vas-ai-hub/contract-review">modified</status>
      <modifiedWord xmlns="http://schemas.wps.cn/vas-ai-hub/contract-review">并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f900ae9c-9df0-4386-b20b-3e8c9d3c7f9e</errorID>
      <errorWord xmlns="http://schemas.wps.cn/vas-ai-hub/contract-review">留存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应留存</item>
      </candidateList>
      <explain xmlns="http://schemas.wps.cn/vas-ai-hub/contract-review"/>
      <paraID xmlns="http://schemas.wps.cn/vas-ai-hub/contract-review">4FC4C35C</paraID>
      <start xmlns="http://schemas.wps.cn/vas-ai-hub/contract-review">23</start>
      <end xmlns="http://schemas.wps.cn/vas-ai-hub/contract-review">25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2ca6ff15-0218-4595-9d88-c0bfb3fab465</errorID>
      <errorWord xmlns="http://schemas.wps.cn/vas-ai-hub/contract-review">不少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应不少</item>
      </candidateList>
      <explain xmlns="http://schemas.wps.cn/vas-ai-hub/contract-review"/>
      <paraID xmlns="http://schemas.wps.cn/vas-ai-hub/contract-review">68164597</paraID>
      <start xmlns="http://schemas.wps.cn/vas-ai-hub/contract-review">28</start>
      <end xmlns="http://schemas.wps.cn/vas-ai-hub/contract-review">30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4b000098-637d-4ab8-9d9f-05e188bbdf50</errorID>
      <errorWord xmlns="http://schemas.wps.cn/vas-ai-hub/contract-review">配置与</errorWord>
      <group xmlns="http://schemas.wps.cn/vas-ai-hub/contract-review">L1_Grammar</group>
      <groupName xmlns="http://schemas.wps.cn/vas-ai-hub/contract-review">语法问题</groupName>
      <ability xmlns="http://schemas.wps.cn/vas-ai-hub/contract-review">L2_Grammar</ability>
      <abilityName xmlns="http://schemas.wps.cn/vas-ai-hub/contract-review">语法错误</abilityName>
      <candidateList xmlns="http://schemas.wps.cn/vas-ai-hub/contract-review">
        <item xmlns="http://schemas.wps.cn/vas-ai-hub/contract-review">其网络环境配置应与</item>
      </candidateList>
      <explain xmlns="http://schemas.wps.cn/vas-ai-hub/contract-review"/>
      <paraID xmlns="http://schemas.wps.cn/vas-ai-hub/contract-review">41633065</paraID>
      <start xmlns="http://schemas.wps.cn/vas-ai-hub/contract-review">0</start>
      <end xmlns="http://schemas.wps.cn/vas-ai-hub/contract-review">3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ef4a2833-ae3e-4cee-8fbf-ee1323ab6659</errorID>
      <errorWord xmlns="http://schemas.wps.cn/vas-ai-hub/contract-review">相适应的网络环境</errorWord>
      <group xmlns="http://schemas.wps.cn/vas-ai-hub/contract-review">L1_Grammar</group>
      <groupName xmlns="http://schemas.wps.cn/vas-ai-hub/contract-review">语法问题</groupName>
      <ability xmlns="http://schemas.wps.cn/vas-ai-hub/contract-review">L2_Grammar</ability>
      <abilityName xmlns="http://schemas.wps.cn/vas-ai-hub/contract-review">语法错误</abilityName>
      <candidateList xmlns="http://schemas.wps.cn/vas-ai-hub/contract-review">
        <item xmlns="http://schemas.wps.cn/vas-ai-hub/contract-review">相适应</item>
      </candidateList>
      <explain xmlns="http://schemas.wps.cn/vas-ai-hub/contract-review"/>
      <paraID xmlns="http://schemas.wps.cn/vas-ai-hub/contract-review">41633065</paraID>
      <start xmlns="http://schemas.wps.cn/vas-ai-hub/contract-review">11</start>
      <end xmlns="http://schemas.wps.cn/vas-ai-hub/contract-review">14</end>
      <status xmlns="http://schemas.wps.cn/vas-ai-hub/contract-review">modified</status>
      <modifiedWord xmlns="http://schemas.wps.cn/vas-ai-hub/contract-review">相适应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aa94f41d-6317-4e74-a221-94c15acb517b</errorID>
      <errorWord xmlns="http://schemas.wps.cn/vas-ai-hub/contract-review">中药饮片的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的中药饮片时</item>
      </candidateList>
      <explain xmlns="http://schemas.wps.cn/vas-ai-hub/contract-review"/>
      <paraID xmlns="http://schemas.wps.cn/vas-ai-hub/contract-review">570D21FE</paraID>
      <start xmlns="http://schemas.wps.cn/vas-ai-hub/contract-review">7</start>
      <end xmlns="http://schemas.wps.cn/vas-ai-hub/contract-review">13</end>
      <status xmlns="http://schemas.wps.cn/vas-ai-hub/contract-review">modified</status>
      <modifiedWord xmlns="http://schemas.wps.cn/vas-ai-hub/contract-review">的中药饮片时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8cbbfa1e-cf48-446f-a09f-fb07217aec21</errorID>
      <errorWord xmlns="http://schemas.wps.cn/vas-ai-hub/contract-review">中药饮片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的中药饮片</item>
      </candidateList>
      <explain xmlns="http://schemas.wps.cn/vas-ai-hub/contract-review"/>
      <paraID xmlns="http://schemas.wps.cn/vas-ai-hub/contract-review">31EAB355</paraID>
      <start xmlns="http://schemas.wps.cn/vas-ai-hub/contract-review">6</start>
      <end xmlns="http://schemas.wps.cn/vas-ai-hub/contract-review">11</end>
      <status xmlns="http://schemas.wps.cn/vas-ai-hub/contract-review">modified</status>
      <modifiedWord xmlns="http://schemas.wps.cn/vas-ai-hub/contract-review">的中药饮片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4bb4a52f-0fac-443c-aa93-ff5f02e00ca9</errorID>
      <errorWord xmlns="http://schemas.wps.cn/vas-ai-hub/contract-review">的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时</item>
      </candidateList>
      <explain xmlns="http://schemas.wps.cn/vas-ai-hub/contract-review"/>
      <paraID xmlns="http://schemas.wps.cn/vas-ai-hub/contract-review">31EAB355</paraID>
      <start xmlns="http://schemas.wps.cn/vas-ai-hub/contract-review">15</start>
      <end xmlns="http://schemas.wps.cn/vas-ai-hub/contract-review">16</end>
      <status xmlns="http://schemas.wps.cn/vas-ai-hub/contract-review">modified</status>
      <modifiedWord xmlns="http://schemas.wps.cn/vas-ai-hub/contract-review">时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48ef03b4-7a64-42e8-bfdc-648833f78798</errorID>
      <errorWord xmlns="http://schemas.wps.cn/vas-ai-hub/contract-review">配备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在配备</item>
      </candidateList>
      <explain xmlns="http://schemas.wps.cn/vas-ai-hub/contract-review"/>
      <paraID xmlns="http://schemas.wps.cn/vas-ai-hub/contract-review">1B9394E7</paraID>
      <start xmlns="http://schemas.wps.cn/vas-ai-hub/contract-review">0</start>
      <end xmlns="http://schemas.wps.cn/vas-ai-hub/contract-review">2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a9a71ef6-29f2-4125-be50-00abb5193af7</errorID>
      <errorWord xmlns="http://schemas.wps.cn/vas-ai-hub/contract-review">、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和</item>
      </candidateList>
      <explain xmlns="http://schemas.wps.cn/vas-ai-hub/contract-review"/>
      <paraID xmlns="http://schemas.wps.cn/vas-ai-hub/contract-review">2ADD1F35</paraID>
      <start xmlns="http://schemas.wps.cn/vas-ai-hub/contract-review">55</start>
      <end xmlns="http://schemas.wps.cn/vas-ai-hub/contract-review">56</end>
      <status xmlns="http://schemas.wps.cn/vas-ai-hub/contract-review">modified</status>
      <modifiedWord xmlns="http://schemas.wps.cn/vas-ai-hub/contract-review">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b7c6e0e4-a98e-4107-beb5-54b10d3beeed</errorID>
      <errorWord xmlns="http://schemas.wps.cn/vas-ai-hub/contract-review">储存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存储</item>
      </candidateList>
      <explain xmlns="http://schemas.wps.cn/vas-ai-hub/contract-review"/>
      <paraID xmlns="http://schemas.wps.cn/vas-ai-hub/contract-review"> 4F30E11</paraID>
      <start xmlns="http://schemas.wps.cn/vas-ai-hub/contract-review">23</start>
      <end xmlns="http://schemas.wps.cn/vas-ai-hub/contract-review">25</end>
      <status xmlns="http://schemas.wps.cn/vas-ai-hub/contract-review">modified</status>
      <modifiedWord xmlns="http://schemas.wps.cn/vas-ai-hub/contract-review">存储</modifiedWord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a4dcc17-b666-436d-a360-56b55f30608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1990</Words>
  <Characters>2104</Characters>
  <Lines>5</Lines>
  <Paragraphs>1</Paragraphs>
  <TotalTime>175</TotalTime>
  <ScaleCrop>false</ScaleCrop>
  <LinksUpToDate>false</LinksUpToDate>
  <CharactersWithSpaces>2143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2026-08-31T22:05:00Z</dcterms:created>
  <dc:creator>office</dc:creator>
  <cp:lastModifiedBy>syj</cp:lastModifiedBy>
  <cp:lastPrinted>2026-10-09T16:04:00Z</cp:lastPrinted>
  <dcterms:modified xsi:type="dcterms:W3CDTF">2026-10-10T11:48:04Z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eyJoZGlkIjoiYTNkNjNlZjJhNDI0OTA4MDNlMTIxNmE0MTBkYzI1ZjIiLCJ1c2VySWQiOiI2MDAzOTIzMTAifQ==</vt:lpwstr>
  </property>
  <property fmtid="{D5CDD505-2E9C-101B-9397-08002B2CF9AE}" pid="3" name="KSOProductBuildVer">
    <vt:lpwstr>2052-12.1.2.24730</vt:lpwstr>
  </property>
  <property fmtid="{D5CDD505-2E9C-101B-9397-08002B2CF9AE}" pid="4" name="ICV">
    <vt:lpwstr>2E9E6118B7D845C79FC060FB37B543C1_13</vt:lpwstr>
  </property>
</Properties>
</file>