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FCE87">
      <w:pPr>
        <w:spacing w:line="54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 w14:paraId="267C39B7">
      <w:pPr>
        <w:spacing w:beforeLines="0" w:afterLines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7981CEAB">
      <w:pPr>
        <w:spacing w:beforeLines="0" w:afterLines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非处方药说明书范本</w:t>
      </w:r>
    </w:p>
    <w:p w14:paraId="3BBF9091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color w:val="000000"/>
          <w:sz w:val="30"/>
          <w:szCs w:val="20"/>
        </w:rPr>
      </w:pPr>
      <w:r>
        <w:rPr>
          <w:rFonts w:hint="eastAsia" w:ascii="宋体" w:hAnsi="宋体" w:cs="宋体"/>
          <w:b/>
          <w:color w:val="000000"/>
          <w:sz w:val="30"/>
          <w:szCs w:val="20"/>
        </w:rPr>
        <w:t>藿香清胃胶囊说明书</w:t>
      </w:r>
    </w:p>
    <w:p w14:paraId="708CD8FE">
      <w:pPr>
        <w:spacing w:line="36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请仔细阅读说明书并按说明使用或在药师指导下购买和使用</w:t>
      </w:r>
    </w:p>
    <w:p w14:paraId="2165C2B8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药品名称</w:t>
      </w:r>
      <w:r>
        <w:rPr>
          <w:rFonts w:ascii="宋体" w:hAnsi="宋体"/>
          <w:b w:val="0"/>
          <w:bCs w:val="0"/>
          <w:szCs w:val="21"/>
        </w:rPr>
        <w:t>]</w:t>
      </w:r>
    </w:p>
    <w:p w14:paraId="0B6AF24C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hint="eastAsia" w:ascii="宋体" w:hAnsi="宋体"/>
          <w:b w:val="0"/>
          <w:bCs w:val="0"/>
          <w:szCs w:val="21"/>
        </w:rPr>
        <w:t>通用名称：藿香清胃胶囊</w:t>
      </w:r>
    </w:p>
    <w:p w14:paraId="1C3B2139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hint="eastAsia" w:ascii="宋体" w:hAnsi="宋体"/>
          <w:b w:val="0"/>
          <w:bCs w:val="0"/>
          <w:szCs w:val="21"/>
        </w:rPr>
        <w:t>汉语拼音：</w:t>
      </w:r>
    </w:p>
    <w:p w14:paraId="16441056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成份</w:t>
      </w:r>
      <w:r>
        <w:rPr>
          <w:rFonts w:ascii="宋体" w:hAnsi="宋体"/>
          <w:b w:val="0"/>
          <w:bCs w:val="0"/>
          <w:szCs w:val="21"/>
        </w:rPr>
        <w:t>]</w:t>
      </w:r>
    </w:p>
    <w:p w14:paraId="0FDB09E5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性状</w:t>
      </w:r>
      <w:r>
        <w:rPr>
          <w:rFonts w:ascii="宋体" w:hAnsi="宋体"/>
          <w:b w:val="0"/>
          <w:bCs w:val="0"/>
          <w:szCs w:val="21"/>
        </w:rPr>
        <w:t>]</w:t>
      </w:r>
    </w:p>
    <w:p w14:paraId="531627DC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功能主治</w:t>
      </w:r>
      <w:r>
        <w:rPr>
          <w:rFonts w:ascii="宋体" w:hAnsi="宋体"/>
          <w:b w:val="0"/>
          <w:bCs w:val="0"/>
          <w:szCs w:val="21"/>
        </w:rPr>
        <w:t>]</w:t>
      </w:r>
      <w:r>
        <w:rPr>
          <w:rFonts w:hint="eastAsia" w:ascii="宋体" w:hAnsi="宋体"/>
          <w:b w:val="0"/>
          <w:bCs w:val="0"/>
          <w:szCs w:val="21"/>
        </w:rPr>
        <w:t>清热化湿，醒脾消滞。用于脾胃伏火引起的消化不良，脘腹胀满，不思饮食、口苦口臭等症。</w:t>
      </w:r>
    </w:p>
    <w:p w14:paraId="3AD4E642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规格</w:t>
      </w:r>
      <w:r>
        <w:rPr>
          <w:rFonts w:ascii="宋体" w:hAnsi="宋体"/>
          <w:b w:val="0"/>
          <w:bCs w:val="0"/>
          <w:szCs w:val="21"/>
        </w:rPr>
        <w:t>]</w:t>
      </w:r>
      <w:r>
        <w:rPr>
          <w:rFonts w:hint="eastAsia" w:ascii="宋体" w:hAnsi="宋体"/>
          <w:b w:val="0"/>
          <w:bCs w:val="0"/>
          <w:szCs w:val="21"/>
        </w:rPr>
        <w:t>每粒装0.32克</w:t>
      </w:r>
    </w:p>
    <w:p w14:paraId="0978FCB6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用法用量</w:t>
      </w:r>
      <w:r>
        <w:rPr>
          <w:rFonts w:ascii="宋体" w:hAnsi="宋体"/>
          <w:b w:val="0"/>
          <w:bCs w:val="0"/>
          <w:szCs w:val="21"/>
        </w:rPr>
        <w:t>]</w:t>
      </w:r>
      <w:r>
        <w:rPr>
          <w:rFonts w:hint="eastAsia" w:ascii="宋体" w:hAnsi="宋体"/>
          <w:b w:val="0"/>
          <w:bCs w:val="0"/>
          <w:szCs w:val="21"/>
        </w:rPr>
        <w:t>口服。一次3粒，一日3次。</w:t>
      </w:r>
    </w:p>
    <w:p w14:paraId="2DC9861B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不良反应</w:t>
      </w:r>
      <w:r>
        <w:rPr>
          <w:rFonts w:ascii="宋体" w:hAnsi="宋体"/>
          <w:b w:val="0"/>
          <w:bCs w:val="0"/>
          <w:szCs w:val="21"/>
        </w:rPr>
        <w:t>]</w:t>
      </w:r>
      <w:r>
        <w:rPr>
          <w:rFonts w:hint="eastAsia" w:ascii="宋体" w:hAnsi="宋体" w:cs="微软雅黑"/>
          <w:b w:val="0"/>
          <w:bCs w:val="0"/>
        </w:rPr>
        <w:t>监测数据显示，本品可见以下不良反应报告：腹泻、恶心、呕吐、腹痛、腹部不适、便秘、皮疹、瘙痒、头晕、头痛、乏力、口干、口渴、心悸、过敏反应等。</w:t>
      </w:r>
    </w:p>
    <w:p w14:paraId="1A0D2358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禁忌</w:t>
      </w:r>
      <w:r>
        <w:rPr>
          <w:rFonts w:ascii="宋体" w:hAnsi="宋体"/>
          <w:b w:val="0"/>
          <w:bCs w:val="0"/>
          <w:szCs w:val="21"/>
        </w:rPr>
        <w:t>]</w:t>
      </w:r>
    </w:p>
    <w:p w14:paraId="3F8AF3FA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1.孕妇禁用。</w:t>
      </w:r>
    </w:p>
    <w:p w14:paraId="585281E1">
      <w:pPr>
        <w:spacing w:line="360" w:lineRule="exact"/>
        <w:rPr>
          <w:b w:val="0"/>
          <w:bCs w:val="0"/>
        </w:rPr>
      </w:pPr>
      <w:r>
        <w:rPr>
          <w:rFonts w:hint="eastAsia" w:ascii="Times" w:hAnsi="Times"/>
          <w:b w:val="0"/>
          <w:bCs w:val="0"/>
          <w:szCs w:val="21"/>
        </w:rPr>
        <w:t>2.对本品及所含成份过敏者禁用。</w:t>
      </w:r>
    </w:p>
    <w:p w14:paraId="49A91263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Times" w:hAnsi="Times"/>
          <w:b w:val="0"/>
          <w:bCs w:val="0"/>
          <w:szCs w:val="21"/>
        </w:rPr>
        <w:t>注意事项</w:t>
      </w:r>
      <w:r>
        <w:rPr>
          <w:rFonts w:ascii="宋体" w:hAnsi="宋体"/>
          <w:b w:val="0"/>
          <w:bCs w:val="0"/>
          <w:szCs w:val="21"/>
        </w:rPr>
        <w:t>]</w:t>
      </w:r>
    </w:p>
    <w:p w14:paraId="6F3C00A5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1.忌食生冷油腻不易消化食物。</w:t>
      </w:r>
    </w:p>
    <w:p w14:paraId="764754F8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2.本品不适用于口干、舌红、手足心热者。</w:t>
      </w:r>
    </w:p>
    <w:p w14:paraId="0E958F4A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3.高血压、心脏病、肝病、糖尿病、肾病等患者应在医师指导下服用。</w:t>
      </w:r>
    </w:p>
    <w:p w14:paraId="26A2D376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4.哺乳期妇女、年老体弱、脾虚大便溏者应在医师指导下服用。</w:t>
      </w:r>
    </w:p>
    <w:p w14:paraId="5C1743BC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5.服药3天症状无改善，或症状加重，或出现新的严重症状时，应停药并去医院就诊。</w:t>
      </w:r>
    </w:p>
    <w:p w14:paraId="25B9C4E7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6.过敏体质者慎用。</w:t>
      </w:r>
    </w:p>
    <w:p w14:paraId="7003EE5C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7.本品性状发生改变时禁止使用。</w:t>
      </w:r>
    </w:p>
    <w:p w14:paraId="2C85CD45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8.请将本品放在儿童不能接触的地方。</w:t>
      </w:r>
    </w:p>
    <w:p w14:paraId="1D9A784E">
      <w:pPr>
        <w:spacing w:line="360" w:lineRule="exact"/>
        <w:rPr>
          <w:rFonts w:ascii="Times" w:hAnsi="Times"/>
          <w:b w:val="0"/>
          <w:bCs w:val="0"/>
          <w:szCs w:val="21"/>
        </w:rPr>
      </w:pPr>
      <w:r>
        <w:rPr>
          <w:rFonts w:hint="eastAsia" w:ascii="Times" w:hAnsi="Times"/>
          <w:b w:val="0"/>
          <w:bCs w:val="0"/>
          <w:szCs w:val="21"/>
        </w:rPr>
        <w:t>9.如正在使用其他药品，使用本品前请咨询医师或药师。</w:t>
      </w:r>
    </w:p>
    <w:p w14:paraId="3410CF93">
      <w:pPr>
        <w:spacing w:line="360" w:lineRule="exact"/>
        <w:rPr>
          <w:rFonts w:ascii="宋体" w:hAnsi="宋体"/>
          <w:b w:val="0"/>
          <w:bCs w:val="0"/>
          <w:szCs w:val="21"/>
        </w:rPr>
      </w:pPr>
      <w:r>
        <w:rPr>
          <w:rFonts w:ascii="宋体" w:hAnsi="宋体"/>
          <w:b w:val="0"/>
          <w:bCs w:val="0"/>
          <w:szCs w:val="21"/>
        </w:rPr>
        <w:t>[</w:t>
      </w:r>
      <w:r>
        <w:rPr>
          <w:rFonts w:hint="eastAsia" w:ascii="宋体" w:hAnsi="宋体"/>
          <w:b w:val="0"/>
          <w:bCs w:val="0"/>
          <w:szCs w:val="21"/>
        </w:rPr>
        <w:t>药物相互作用]如与其他药物同时使用可能会发生药物相互作用，详情请咨询医师或药师。</w:t>
      </w:r>
    </w:p>
    <w:p w14:paraId="5865C520">
      <w:pPr>
        <w:spacing w:line="360" w:lineRule="exact"/>
        <w:rPr>
          <w:rFonts w:ascii="宋体" w:hAnsi="宋体"/>
          <w:b w:val="0"/>
          <w:bCs w:val="0"/>
        </w:rPr>
      </w:pP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贮藏</w:t>
      </w:r>
      <w:r>
        <w:rPr>
          <w:rFonts w:ascii="宋体" w:hAnsi="宋体"/>
          <w:b w:val="0"/>
          <w:bCs w:val="0"/>
        </w:rPr>
        <w:t xml:space="preserve">] 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包装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有效期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执行标准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批准文号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说明书修订日期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药品上市许可持有人</w:t>
      </w:r>
      <w:r>
        <w:rPr>
          <w:rFonts w:ascii="宋体" w:hAnsi="宋体"/>
          <w:b w:val="0"/>
          <w:bCs w:val="0"/>
        </w:rPr>
        <w:t>]</w:t>
      </w:r>
    </w:p>
    <w:p w14:paraId="67AD4BC9">
      <w:pPr>
        <w:spacing w:line="360" w:lineRule="exact"/>
        <w:rPr>
          <w:rFonts w:ascii="宋体" w:hAnsi="宋体"/>
          <w:b w:val="0"/>
          <w:bCs w:val="0"/>
        </w:rPr>
      </w:pPr>
      <w:r>
        <w:rPr>
          <w:rFonts w:hint="eastAsia" w:ascii="宋体" w:hAnsi="宋体"/>
          <w:b w:val="0"/>
          <w:bCs w:val="0"/>
        </w:rPr>
        <w:t>名</w:t>
      </w:r>
      <w:r>
        <w:rPr>
          <w:rFonts w:ascii="宋体" w:hAnsi="宋体"/>
          <w:b w:val="0"/>
          <w:bCs w:val="0"/>
        </w:rPr>
        <w:t xml:space="preserve">    </w:t>
      </w:r>
      <w:r>
        <w:rPr>
          <w:rFonts w:hint="eastAsia" w:ascii="宋体" w:hAnsi="宋体"/>
          <w:b w:val="0"/>
          <w:bCs w:val="0"/>
        </w:rPr>
        <w:t>称：</w:t>
      </w:r>
      <w:r>
        <w:rPr>
          <w:rFonts w:ascii="宋体" w:hAnsi="宋体"/>
          <w:b w:val="0"/>
          <w:bCs w:val="0"/>
        </w:rPr>
        <w:t xml:space="preserve"> 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注册地址：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邮政编码：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电话号码：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传真号码：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网</w:t>
      </w:r>
      <w:r>
        <w:rPr>
          <w:rFonts w:ascii="宋体" w:hAnsi="宋体"/>
          <w:b w:val="0"/>
          <w:bCs w:val="0"/>
        </w:rPr>
        <w:t xml:space="preserve">    </w:t>
      </w:r>
      <w:r>
        <w:rPr>
          <w:rFonts w:hint="eastAsia" w:ascii="宋体" w:hAnsi="宋体"/>
          <w:b w:val="0"/>
          <w:bCs w:val="0"/>
        </w:rPr>
        <w:t>址：</w:t>
      </w:r>
    </w:p>
    <w:p w14:paraId="395D88EC">
      <w:pPr>
        <w:spacing w:line="360" w:lineRule="exact"/>
        <w:rPr>
          <w:rFonts w:ascii="宋体" w:hAnsi="宋体"/>
          <w:b w:val="0"/>
          <w:bCs w:val="0"/>
        </w:rPr>
      </w:pPr>
      <w:r>
        <w:rPr>
          <w:rFonts w:ascii="宋体" w:hAnsi="宋体"/>
          <w:b w:val="0"/>
          <w:bCs w:val="0"/>
        </w:rPr>
        <w:t>[</w:t>
      </w:r>
      <w:r>
        <w:rPr>
          <w:rFonts w:hint="eastAsia" w:ascii="宋体" w:hAnsi="宋体"/>
          <w:b w:val="0"/>
          <w:bCs w:val="0"/>
        </w:rPr>
        <w:t>生产企业</w:t>
      </w:r>
      <w:r>
        <w:rPr>
          <w:rFonts w:ascii="宋体" w:hAnsi="宋体"/>
          <w:b w:val="0"/>
          <w:bCs w:val="0"/>
        </w:rPr>
        <w:t>]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企业名称：</w:t>
      </w:r>
      <w:r>
        <w:rPr>
          <w:rFonts w:ascii="宋体" w:hAnsi="宋体"/>
          <w:b w:val="0"/>
          <w:bCs w:val="0"/>
        </w:rPr>
        <w:t xml:space="preserve"> 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 w:val="0"/>
          <w:bCs w:val="0"/>
        </w:rPr>
        <w:t>生产地址：</w:t>
      </w:r>
      <w:r>
        <w:rPr>
          <w:rFonts w:ascii="宋体" w:hAnsi="宋体"/>
          <w:b w:val="0"/>
          <w:bCs w:val="0"/>
        </w:rPr>
        <w:br w:type="textWrapping"/>
      </w:r>
      <w:r>
        <w:rPr>
          <w:rFonts w:hint="eastAsia" w:ascii="宋体" w:hAnsi="宋体"/>
          <w:b/>
          <w:bCs/>
        </w:rPr>
        <w:t>如有问题可与药品上市许可持有人联系。</w:t>
      </w:r>
    </w:p>
    <w:p w14:paraId="5183FF98">
      <w:pPr>
        <w:spacing w:line="360" w:lineRule="exact"/>
        <w:rPr>
          <w:rFonts w:ascii="宋体" w:hAnsi="宋体"/>
          <w:b w:val="0"/>
          <w:bCs w:val="0"/>
        </w:rPr>
      </w:pPr>
    </w:p>
    <w:p w14:paraId="58CB2DEC">
      <w:pPr>
        <w:spacing w:line="360" w:lineRule="exact"/>
        <w:ind w:firstLine="420" w:firstLineChars="200"/>
        <w:rPr>
          <w:rFonts w:ascii="Calibri" w:hAnsi="Calibri"/>
          <w:b w:val="0"/>
          <w:bCs w:val="0"/>
          <w:color w:val="000000"/>
          <w:szCs w:val="22"/>
        </w:rPr>
      </w:pPr>
      <w:r>
        <w:rPr>
          <w:rFonts w:hint="eastAsia" w:ascii="Calibri" w:hAnsi="Calibri"/>
          <w:b w:val="0"/>
          <w:bCs w:val="0"/>
          <w:color w:val="000000"/>
          <w:szCs w:val="21"/>
        </w:rPr>
        <w:t>（注：本说明书范本原则上不得删减，如原批准说明书的安全性内容较本范本内容更全面或者更严格的，应当保留原批准内容。）</w:t>
      </w:r>
    </w:p>
    <w:p w14:paraId="7BDEA505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bCs w:val="0"/>
          <w:sz w:val="30"/>
          <w:szCs w:val="20"/>
        </w:rPr>
      </w:pPr>
      <w:r>
        <w:rPr>
          <w:rFonts w:ascii="宋体" w:hAnsi="宋体" w:cs="宋体"/>
          <w:b/>
          <w:sz w:val="30"/>
          <w:szCs w:val="20"/>
        </w:rPr>
        <w:br w:type="page"/>
      </w:r>
      <w:r>
        <w:rPr>
          <w:rFonts w:ascii="宋体" w:hAnsi="宋体" w:cs="宋体"/>
          <w:b/>
          <w:bCs w:val="0"/>
          <w:sz w:val="30"/>
          <w:szCs w:val="20"/>
        </w:rPr>
        <w:t>虚汗停胶囊说明书</w:t>
      </w:r>
    </w:p>
    <w:p w14:paraId="7AF5074B">
      <w:pPr>
        <w:widowControl/>
        <w:spacing w:line="360" w:lineRule="exact"/>
        <w:jc w:val="center"/>
        <w:rPr>
          <w:b/>
          <w:bCs w:val="0"/>
        </w:rPr>
      </w:pPr>
      <w:r>
        <w:rPr>
          <w:b/>
          <w:bCs w:val="0"/>
          <w:kern w:val="0"/>
          <w:lang w:bidi="ar"/>
        </w:rPr>
        <w:t>请仔细阅读说明书并按说明使用或在药师指导下购买和使用</w:t>
      </w:r>
    </w:p>
    <w:p w14:paraId="0FD71C7E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[药品名称]</w:t>
      </w:r>
    </w:p>
    <w:p w14:paraId="1D2D1E53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通用名称：</w:t>
      </w:r>
      <w:r>
        <w:rPr>
          <w:rFonts w:hint="eastAsia" w:ascii="宋体" w:hAnsi="宋体"/>
          <w:b w:val="0"/>
          <w:bCs/>
          <w:szCs w:val="21"/>
        </w:rPr>
        <w:t>虚汗停胶囊</w:t>
      </w:r>
    </w:p>
    <w:p w14:paraId="3EDD206F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汉语拼音：</w:t>
      </w:r>
    </w:p>
    <w:p w14:paraId="025D7B58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[成份]</w:t>
      </w:r>
    </w:p>
    <w:p w14:paraId="46501179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[性状]</w:t>
      </w:r>
    </w:p>
    <w:p w14:paraId="26B1C827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[功能主治]</w:t>
      </w:r>
      <w:r>
        <w:rPr>
          <w:rFonts w:hint="eastAsia" w:ascii="宋体" w:hAnsi="宋体"/>
          <w:b w:val="0"/>
          <w:bCs/>
          <w:szCs w:val="21"/>
        </w:rPr>
        <w:t>益气养阴，固表敛汗。用于气阴不足之自汗、盗汗及小儿盗汗。</w:t>
      </w:r>
    </w:p>
    <w:p w14:paraId="58B4976D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[规格]</w:t>
      </w:r>
      <w:r>
        <w:rPr>
          <w:rFonts w:hint="eastAsia" w:ascii="宋体" w:hAnsi="宋体"/>
          <w:b w:val="0"/>
          <w:bCs/>
          <w:szCs w:val="21"/>
        </w:rPr>
        <w:t>每粒装0.35克</w:t>
      </w:r>
    </w:p>
    <w:p w14:paraId="2A7CD59B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[用法用量]</w:t>
      </w:r>
      <w:r>
        <w:rPr>
          <w:rFonts w:hint="eastAsia" w:ascii="宋体" w:hAnsi="宋体"/>
          <w:b w:val="0"/>
          <w:bCs/>
          <w:szCs w:val="21"/>
        </w:rPr>
        <w:t>口服。成人一次4粒，一日3次。四周岁以上儿童，一次2粒，一日3次。</w:t>
      </w:r>
    </w:p>
    <w:p w14:paraId="243A8A27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[不良反应]</w:t>
      </w:r>
      <w:r>
        <w:rPr>
          <w:rFonts w:hint="eastAsia" w:ascii="宋体" w:hAnsi="宋体"/>
          <w:b w:val="0"/>
          <w:bCs/>
          <w:szCs w:val="21"/>
        </w:rPr>
        <w:t>监测数据显示，本制剂可见以下不良反应报告：恶心、呕吐、口干、腹泻、腹部不适、腹胀、食欲减退、便秘、皮疹、瘙痒、红斑、荨麻疹、头晕、头痛、过敏反应等。</w:t>
      </w:r>
    </w:p>
    <w:p w14:paraId="020EFF6D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[禁忌]对本品及所含成份过敏者禁用</w:t>
      </w:r>
      <w:r>
        <w:rPr>
          <w:rFonts w:hint="eastAsia" w:ascii="宋体" w:hAnsi="宋体"/>
          <w:b w:val="0"/>
          <w:bCs/>
          <w:szCs w:val="21"/>
        </w:rPr>
        <w:t>。</w:t>
      </w:r>
    </w:p>
    <w:p w14:paraId="3578FC4F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[注意事项]</w:t>
      </w:r>
    </w:p>
    <w:p w14:paraId="4D411C39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1.忌辛辣、生冷、油腻食物。</w:t>
      </w:r>
    </w:p>
    <w:p w14:paraId="14807834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2.感冒发热病人不宜服用。</w:t>
      </w:r>
    </w:p>
    <w:p w14:paraId="4A500CBA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3.本品宜饭前服用。</w:t>
      </w:r>
    </w:p>
    <w:p w14:paraId="7C14C1C7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4</w:t>
      </w:r>
      <w:r>
        <w:rPr>
          <w:rFonts w:hint="eastAsia" w:ascii="宋体" w:hAnsi="宋体"/>
          <w:b w:val="0"/>
          <w:bCs/>
          <w:szCs w:val="21"/>
        </w:rPr>
        <w:t>.实热汗出者慎用。</w:t>
      </w:r>
    </w:p>
    <w:p w14:paraId="46206018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5.</w:t>
      </w:r>
      <w:r>
        <w:rPr>
          <w:rFonts w:hint="eastAsia" w:ascii="宋体" w:hAnsi="宋体"/>
          <w:b w:val="0"/>
          <w:bCs/>
          <w:szCs w:val="21"/>
        </w:rPr>
        <w:t>高血压、心脏病、肝病、糖尿病、肾病等患者应在医师指导下服用。</w:t>
      </w:r>
    </w:p>
    <w:p w14:paraId="6911DBD3">
      <w:pPr>
        <w:spacing w:line="360" w:lineRule="exact"/>
        <w:rPr>
          <w:rFonts w:ascii="宋体" w:hAnsi="宋体"/>
          <w:b w:val="0"/>
          <w:bCs/>
          <w:i/>
          <w:szCs w:val="21"/>
          <w:u w:val="single"/>
        </w:rPr>
      </w:pPr>
      <w:r>
        <w:rPr>
          <w:rFonts w:ascii="宋体" w:hAnsi="宋体"/>
          <w:b w:val="0"/>
          <w:bCs/>
          <w:szCs w:val="21"/>
        </w:rPr>
        <w:t>6</w:t>
      </w:r>
      <w:r>
        <w:rPr>
          <w:rFonts w:hint="eastAsia" w:ascii="宋体" w:hAnsi="宋体"/>
          <w:b w:val="0"/>
          <w:bCs/>
          <w:szCs w:val="21"/>
        </w:rPr>
        <w:t>.孕妇、哺乳期妇女应在医师指导下服用。</w:t>
      </w:r>
    </w:p>
    <w:p w14:paraId="0F623DD3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7.</w:t>
      </w:r>
      <w:r>
        <w:rPr>
          <w:rFonts w:hint="eastAsia" w:ascii="宋体" w:hAnsi="宋体"/>
          <w:b w:val="0"/>
          <w:bCs/>
          <w:szCs w:val="21"/>
        </w:rPr>
        <w:t xml:space="preserve">服药2周症状无缓解，应去医院就诊。 </w:t>
      </w:r>
    </w:p>
    <w:p w14:paraId="5AE03CD4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8</w:t>
      </w:r>
      <w:r>
        <w:rPr>
          <w:rFonts w:hint="eastAsia" w:ascii="宋体" w:hAnsi="宋体"/>
          <w:b w:val="0"/>
          <w:bCs/>
          <w:szCs w:val="21"/>
        </w:rPr>
        <w:t>.过敏体质者慎用。</w:t>
      </w:r>
    </w:p>
    <w:p w14:paraId="66058003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9</w:t>
      </w:r>
      <w:r>
        <w:rPr>
          <w:rFonts w:hint="eastAsia" w:ascii="宋体" w:hAnsi="宋体"/>
          <w:b w:val="0"/>
          <w:bCs/>
          <w:szCs w:val="21"/>
        </w:rPr>
        <w:t>.本品性状发生改变时禁止使用。</w:t>
      </w:r>
    </w:p>
    <w:p w14:paraId="5E277909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10</w:t>
      </w:r>
      <w:r>
        <w:rPr>
          <w:rFonts w:hint="eastAsia" w:ascii="宋体" w:hAnsi="宋体"/>
          <w:b w:val="0"/>
          <w:bCs/>
          <w:szCs w:val="21"/>
        </w:rPr>
        <w:t>.儿童必须在成人监护下使用。</w:t>
      </w:r>
    </w:p>
    <w:p w14:paraId="0FA14BA5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1</w:t>
      </w:r>
      <w:r>
        <w:rPr>
          <w:rFonts w:ascii="宋体" w:hAnsi="宋体"/>
          <w:b w:val="0"/>
          <w:bCs/>
          <w:szCs w:val="21"/>
        </w:rPr>
        <w:t>1</w:t>
      </w:r>
      <w:r>
        <w:rPr>
          <w:rFonts w:hint="eastAsia" w:ascii="宋体" w:hAnsi="宋体"/>
          <w:b w:val="0"/>
          <w:bCs/>
          <w:szCs w:val="21"/>
        </w:rPr>
        <w:t>.请将本品放在儿童不能接触的地方。</w:t>
      </w:r>
    </w:p>
    <w:p w14:paraId="34DD633E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1</w:t>
      </w:r>
      <w:r>
        <w:rPr>
          <w:rFonts w:ascii="宋体" w:hAnsi="宋体"/>
          <w:b w:val="0"/>
          <w:bCs/>
          <w:szCs w:val="21"/>
        </w:rPr>
        <w:t>2</w:t>
      </w:r>
      <w:r>
        <w:rPr>
          <w:rFonts w:hint="eastAsia" w:ascii="宋体" w:hAnsi="宋体"/>
          <w:b w:val="0"/>
          <w:bCs/>
          <w:szCs w:val="21"/>
        </w:rPr>
        <w:t>.如正在使用其他药品，使用本品前请咨询医师或药师。</w:t>
      </w:r>
    </w:p>
    <w:p w14:paraId="444A3CAF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[药物相互作用]如与其他药物同时使用可能会发生药物相互作用，详情请咨询医师或药师</w:t>
      </w:r>
    </w:p>
    <w:p w14:paraId="645EB3DD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贮藏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包装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有效期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执行标准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批准文号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说明书修订日期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药品上市许可持有人</w:t>
      </w:r>
      <w:r>
        <w:rPr>
          <w:rFonts w:ascii="宋体" w:hAnsi="宋体"/>
          <w:b w:val="0"/>
          <w:bCs/>
          <w:szCs w:val="21"/>
        </w:rPr>
        <w:t>]</w:t>
      </w:r>
    </w:p>
    <w:p w14:paraId="724AC40D">
      <w:pPr>
        <w:spacing w:line="360" w:lineRule="exact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名</w:t>
      </w:r>
      <w:r>
        <w:rPr>
          <w:rFonts w:ascii="宋体" w:hAnsi="宋体"/>
          <w:b w:val="0"/>
          <w:bCs/>
          <w:szCs w:val="21"/>
        </w:rPr>
        <w:t xml:space="preserve">   </w:t>
      </w:r>
      <w:r>
        <w:rPr>
          <w:rFonts w:hint="eastAsia" w:ascii="宋体" w:hAnsi="宋体"/>
          <w:b w:val="0"/>
          <w:bCs/>
          <w:szCs w:val="21"/>
        </w:rPr>
        <w:t>称：</w:t>
      </w:r>
      <w:r>
        <w:rPr>
          <w:rFonts w:ascii="宋体" w:hAnsi="宋体"/>
          <w:b w:val="0"/>
          <w:bCs/>
          <w:szCs w:val="21"/>
        </w:rPr>
        <w:t xml:space="preserve"> 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注册地址：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邮政编码：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电话号码：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传真号码：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网</w:t>
      </w:r>
      <w:r>
        <w:rPr>
          <w:rFonts w:ascii="宋体" w:hAnsi="宋体"/>
          <w:b w:val="0"/>
          <w:bCs/>
          <w:szCs w:val="21"/>
        </w:rPr>
        <w:t xml:space="preserve"> </w:t>
      </w:r>
      <w:r>
        <w:rPr>
          <w:rFonts w:hint="eastAsia" w:ascii="宋体" w:hAnsi="宋体"/>
          <w:b w:val="0"/>
          <w:bCs/>
          <w:szCs w:val="21"/>
        </w:rPr>
        <w:t>址：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ascii="宋体" w:hAnsi="宋体"/>
          <w:b w:val="0"/>
          <w:bCs/>
          <w:szCs w:val="21"/>
        </w:rPr>
        <w:t>[</w:t>
      </w:r>
      <w:r>
        <w:rPr>
          <w:rFonts w:hint="eastAsia" w:ascii="宋体" w:hAnsi="宋体"/>
          <w:b w:val="0"/>
          <w:bCs/>
          <w:szCs w:val="21"/>
        </w:rPr>
        <w:t>生产企业</w:t>
      </w:r>
      <w:r>
        <w:rPr>
          <w:rFonts w:ascii="宋体" w:hAnsi="宋体"/>
          <w:b w:val="0"/>
          <w:bCs/>
          <w:szCs w:val="21"/>
        </w:rPr>
        <w:t>]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企业名称：</w:t>
      </w:r>
      <w:r>
        <w:rPr>
          <w:rFonts w:ascii="宋体" w:hAnsi="宋体"/>
          <w:b w:val="0"/>
          <w:bCs/>
          <w:szCs w:val="21"/>
        </w:rPr>
        <w:t xml:space="preserve"> 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 w:val="0"/>
          <w:bCs/>
          <w:szCs w:val="21"/>
        </w:rPr>
        <w:t>生产地址：</w:t>
      </w:r>
      <w:r>
        <w:rPr>
          <w:rFonts w:ascii="宋体" w:hAnsi="宋体"/>
          <w:b w:val="0"/>
          <w:bCs/>
          <w:szCs w:val="21"/>
        </w:rPr>
        <w:br w:type="textWrapping"/>
      </w:r>
      <w:r>
        <w:rPr>
          <w:rFonts w:hint="eastAsia" w:ascii="宋体" w:hAnsi="宋体"/>
          <w:b/>
          <w:bCs w:val="0"/>
          <w:szCs w:val="21"/>
        </w:rPr>
        <w:t>如有问题可与药品上市许可持有人联系。</w:t>
      </w:r>
    </w:p>
    <w:p w14:paraId="7DC867E9">
      <w:pPr>
        <w:keepNext w:val="0"/>
        <w:keepLines w:val="0"/>
        <w:spacing w:before="0" w:after="0" w:line="360" w:lineRule="exact"/>
        <w:jc w:val="left"/>
        <w:outlineLvl w:val="9"/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</w:pPr>
    </w:p>
    <w:p w14:paraId="09F18BC1">
      <w:pPr>
        <w:keepNext w:val="0"/>
        <w:keepLines w:val="0"/>
        <w:spacing w:before="0" w:after="0" w:line="360" w:lineRule="exact"/>
        <w:jc w:val="left"/>
        <w:outlineLvl w:val="9"/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</w:pPr>
    </w:p>
    <w:p w14:paraId="67959CC5">
      <w:pPr>
        <w:keepNext w:val="0"/>
        <w:keepLines w:val="0"/>
        <w:spacing w:before="0" w:after="0" w:line="360" w:lineRule="exact"/>
        <w:jc w:val="left"/>
        <w:outlineLvl w:val="9"/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</w:pPr>
      <w:r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  <w:t>（</w:t>
      </w:r>
      <w:r>
        <w:rPr>
          <w:rFonts w:hint="default" w:ascii="宋体" w:hAnsi="宋体" w:eastAsia="宋体" w:cs="Times New Roman"/>
          <w:b w:val="0"/>
          <w:bCs/>
          <w:kern w:val="2"/>
          <w:szCs w:val="21"/>
          <w:lang w:bidi="ar"/>
        </w:rPr>
        <w:t>注：本说明书范本原则上不得删减，如原批准说明书的安全性内容较本范本内容更全面或者更严格的，应保留原批准内容。</w:t>
      </w:r>
      <w:r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  <w:t>）</w:t>
      </w:r>
    </w:p>
    <w:p w14:paraId="728839BA">
      <w:pPr>
        <w:keepNext w:val="0"/>
        <w:keepLines w:val="0"/>
        <w:spacing w:before="0" w:after="0" w:line="360" w:lineRule="exact"/>
        <w:jc w:val="left"/>
        <w:outlineLvl w:val="9"/>
        <w:rPr>
          <w:rFonts w:hint="default" w:ascii="宋体" w:hAnsi="宋体" w:eastAsia="宋体" w:cs="Times New Roman"/>
          <w:b w:val="0"/>
          <w:bCs/>
          <w:kern w:val="2"/>
          <w:szCs w:val="21"/>
          <w:lang w:eastAsia="zh-CN" w:bidi="ar"/>
        </w:rPr>
      </w:pPr>
    </w:p>
    <w:p w14:paraId="2C1CE95A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eastAsia="宋体" w:cs="宋体"/>
          <w:b/>
          <w:bCs w:val="0"/>
          <w:sz w:val="30"/>
          <w:szCs w:val="20"/>
        </w:rPr>
      </w:pPr>
      <w:r>
        <w:rPr>
          <w:rFonts w:hint="default" w:ascii="宋体" w:hAnsi="宋体" w:eastAsia="宋体" w:cs="Times New Roman"/>
          <w:b w:val="0"/>
          <w:bCs/>
          <w:sz w:val="21"/>
          <w:szCs w:val="21"/>
          <w:lang w:bidi="ar"/>
        </w:rPr>
        <w:br w:type="page"/>
      </w:r>
      <w:r>
        <w:rPr>
          <w:rFonts w:hint="default" w:ascii="宋体" w:hAnsi="宋体" w:eastAsia="宋体" w:cs="宋体"/>
          <w:b/>
          <w:bCs w:val="0"/>
          <w:sz w:val="30"/>
          <w:szCs w:val="20"/>
        </w:rPr>
        <w:t>消食理气颗粒说明书</w:t>
      </w:r>
    </w:p>
    <w:p w14:paraId="73ACCD0B">
      <w:pPr>
        <w:spacing w:line="300" w:lineRule="exact"/>
        <w:jc w:val="center"/>
        <w:rPr>
          <w:rFonts w:ascii="宋体" w:hAnsi="宋体"/>
          <w:b/>
          <w:bCs w:val="0"/>
        </w:rPr>
      </w:pPr>
      <w:r>
        <w:rPr>
          <w:rFonts w:hint="eastAsia" w:ascii="宋体" w:hAnsi="宋体"/>
          <w:b/>
          <w:bCs w:val="0"/>
        </w:rPr>
        <w:t>请仔细阅读说明书并按说明使用或在药师指导下购买和使用</w:t>
      </w:r>
    </w:p>
    <w:p w14:paraId="4647D4F4">
      <w:pPr>
        <w:spacing w:line="360" w:lineRule="exact"/>
        <w:jc w:val="center"/>
        <w:rPr>
          <w:rFonts w:ascii="宋体" w:hAnsi="宋体"/>
          <w:b/>
          <w:bCs w:val="0"/>
        </w:rPr>
      </w:pPr>
      <w:r>
        <w:rPr>
          <w:rFonts w:hint="eastAsia" w:ascii="宋体" w:hAnsi="宋体"/>
          <w:b/>
          <w:bCs w:val="0"/>
        </w:rPr>
        <w:t>本品仅为高脂血症的辅助治疗药品，不可替代治疗用药品</w:t>
      </w:r>
    </w:p>
    <w:p w14:paraId="5BE77BAB">
      <w:pPr>
        <w:spacing w:line="360" w:lineRule="exact"/>
        <w:rPr>
          <w:b/>
          <w:bCs w:val="0"/>
          <w:sz w:val="28"/>
          <w:szCs w:val="28"/>
        </w:rPr>
      </w:pPr>
    </w:p>
    <w:p w14:paraId="56521DF0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药品名称</w:t>
      </w:r>
      <w:r>
        <w:rPr>
          <w:b w:val="0"/>
          <w:bCs/>
          <w:szCs w:val="21"/>
        </w:rPr>
        <w:t>]</w:t>
      </w:r>
    </w:p>
    <w:p w14:paraId="637DBC4F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通用名称：消食理气颗粒</w:t>
      </w:r>
    </w:p>
    <w:p w14:paraId="552C2FD4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汉语拼音：</w:t>
      </w:r>
    </w:p>
    <w:p w14:paraId="31E811A1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成份</w:t>
      </w:r>
      <w:r>
        <w:rPr>
          <w:b w:val="0"/>
          <w:bCs/>
          <w:szCs w:val="21"/>
        </w:rPr>
        <w:t>]</w:t>
      </w:r>
    </w:p>
    <w:p w14:paraId="73939370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性状</w:t>
      </w:r>
      <w:r>
        <w:rPr>
          <w:b w:val="0"/>
          <w:bCs/>
          <w:szCs w:val="21"/>
        </w:rPr>
        <w:t>]</w:t>
      </w:r>
    </w:p>
    <w:p w14:paraId="097E643D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功能主治</w:t>
      </w:r>
      <w:r>
        <w:rPr>
          <w:b w:val="0"/>
          <w:bCs/>
          <w:szCs w:val="21"/>
        </w:rPr>
        <w:t>]</w:t>
      </w:r>
      <w:r>
        <w:rPr>
          <w:rFonts w:hint="eastAsia"/>
          <w:b w:val="0"/>
          <w:bCs/>
          <w:szCs w:val="21"/>
        </w:rPr>
        <w:t>和胃消食，理气和血。适用于高脂血症的辅助治疗。</w:t>
      </w:r>
    </w:p>
    <w:p w14:paraId="4449F56F">
      <w:pPr>
        <w:spacing w:line="360" w:lineRule="exact"/>
        <w:rPr>
          <w:rFonts w:eastAsia="宋体"/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规格</w:t>
      </w:r>
      <w:r>
        <w:rPr>
          <w:b w:val="0"/>
          <w:bCs/>
          <w:szCs w:val="21"/>
        </w:rPr>
        <w:t>]</w:t>
      </w:r>
      <w:r>
        <w:rPr>
          <w:rFonts w:hint="eastAsia"/>
          <w:b w:val="0"/>
          <w:bCs/>
          <w:szCs w:val="21"/>
        </w:rPr>
        <w:t>每袋装6克</w:t>
      </w:r>
    </w:p>
    <w:p w14:paraId="58EF630F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用法用量</w:t>
      </w:r>
      <w:r>
        <w:rPr>
          <w:b w:val="0"/>
          <w:bCs/>
          <w:szCs w:val="21"/>
        </w:rPr>
        <w:t>]</w:t>
      </w:r>
      <w:r>
        <w:rPr>
          <w:rFonts w:hint="eastAsia"/>
          <w:b w:val="0"/>
          <w:bCs/>
          <w:szCs w:val="21"/>
        </w:rPr>
        <w:t>开水冲服。一次6克，一日3次。</w:t>
      </w:r>
    </w:p>
    <w:p w14:paraId="1E31341A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不良反应</w:t>
      </w:r>
      <w:r>
        <w:rPr>
          <w:b w:val="0"/>
          <w:bCs/>
          <w:szCs w:val="21"/>
        </w:rPr>
        <w:t>]</w:t>
      </w:r>
      <w:r>
        <w:rPr>
          <w:rFonts w:hint="eastAsia"/>
          <w:b w:val="0"/>
          <w:bCs/>
          <w:szCs w:val="21"/>
        </w:rPr>
        <w:t>本品可见以下不良反应：肠鸣音增加、大便次数增多、腹泻。</w:t>
      </w:r>
    </w:p>
    <w:p w14:paraId="56BCBA96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禁忌</w:t>
      </w:r>
      <w:r>
        <w:rPr>
          <w:b w:val="0"/>
          <w:bCs/>
          <w:szCs w:val="21"/>
        </w:rPr>
        <w:t>]</w:t>
      </w:r>
    </w:p>
    <w:p w14:paraId="5FDA40B8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1. 孕妇禁用。</w:t>
      </w:r>
    </w:p>
    <w:p w14:paraId="1EB4586B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2. 对本品及所含成份过敏者禁用。</w:t>
      </w:r>
    </w:p>
    <w:p w14:paraId="2489076F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注意事项</w:t>
      </w:r>
      <w:r>
        <w:rPr>
          <w:b w:val="0"/>
          <w:bCs/>
          <w:szCs w:val="21"/>
        </w:rPr>
        <w:t>]</w:t>
      </w:r>
    </w:p>
    <w:p w14:paraId="6C089595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1.忌食辛辣、生冷、油腻食物。</w:t>
      </w:r>
    </w:p>
    <w:p w14:paraId="6C27A641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2.本品仅为高脂血症的辅助治疗药品，应当在医生确诊后使用，不可替代治疗用药品。</w:t>
      </w:r>
    </w:p>
    <w:p w14:paraId="2E2A314E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3.第一次使用本品前应当咨询医生，治疗期间应当定期到医院进行检查。</w:t>
      </w:r>
    </w:p>
    <w:p w14:paraId="7A3E5B0D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4</w:t>
      </w:r>
      <w:r>
        <w:rPr>
          <w:b w:val="0"/>
          <w:bCs/>
          <w:szCs w:val="21"/>
        </w:rPr>
        <w:t>.</w:t>
      </w:r>
      <w:r>
        <w:rPr>
          <w:rFonts w:hint="eastAsia"/>
          <w:b w:val="0"/>
          <w:bCs/>
          <w:szCs w:val="21"/>
        </w:rPr>
        <w:t>按照用法用量服用，长期服用应当向医师咨询。</w:t>
      </w:r>
    </w:p>
    <w:p w14:paraId="1ED7FFCF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5.脾虚大便溏者慎用。</w:t>
      </w:r>
      <w:r>
        <w:rPr>
          <w:rFonts w:hint="eastAsia"/>
          <w:b w:val="0"/>
          <w:bCs/>
          <w:szCs w:val="21"/>
        </w:rPr>
        <w:t>年老体弱者应当在医师指导下服用。</w:t>
      </w:r>
    </w:p>
    <w:p w14:paraId="74485B2B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6</w:t>
      </w:r>
      <w:r>
        <w:rPr>
          <w:rFonts w:hint="eastAsia"/>
          <w:b w:val="0"/>
          <w:bCs/>
          <w:szCs w:val="21"/>
        </w:rPr>
        <w:t>.高血压、心脏病、肝病、糖尿病、肾病等患者应在医师指导下服用。</w:t>
      </w:r>
    </w:p>
    <w:p w14:paraId="5DF8279E">
      <w:pPr>
        <w:spacing w:line="360" w:lineRule="exact"/>
        <w:rPr>
          <w:b w:val="0"/>
          <w:bCs/>
          <w:szCs w:val="21"/>
        </w:rPr>
      </w:pPr>
      <w:r>
        <w:rPr>
          <w:rFonts w:hint="eastAsia"/>
          <w:b w:val="0"/>
          <w:bCs/>
          <w:szCs w:val="21"/>
        </w:rPr>
        <w:t>7</w:t>
      </w:r>
      <w:r>
        <w:rPr>
          <w:b w:val="0"/>
          <w:bCs/>
          <w:szCs w:val="21"/>
        </w:rPr>
        <w:t>.</w:t>
      </w:r>
      <w:r>
        <w:rPr>
          <w:rFonts w:hint="eastAsia"/>
          <w:b w:val="0"/>
          <w:bCs/>
          <w:szCs w:val="21"/>
        </w:rPr>
        <w:t>服药2周症状无改善，或者症状加重，或者出现新的严重症状，应当停药并去医院就诊。</w:t>
      </w:r>
    </w:p>
    <w:p w14:paraId="6C284E64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8</w:t>
      </w:r>
      <w:r>
        <w:rPr>
          <w:rFonts w:hint="eastAsia"/>
          <w:b w:val="0"/>
          <w:bCs/>
          <w:szCs w:val="21"/>
        </w:rPr>
        <w:t>.过敏体质者慎用。</w:t>
      </w:r>
    </w:p>
    <w:p w14:paraId="5B23122D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9</w:t>
      </w:r>
      <w:r>
        <w:rPr>
          <w:rFonts w:hint="eastAsia"/>
          <w:b w:val="0"/>
          <w:bCs/>
          <w:szCs w:val="21"/>
        </w:rPr>
        <w:t>.本品性状发生改变时禁止使用。</w:t>
      </w:r>
    </w:p>
    <w:p w14:paraId="11800DCB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10</w:t>
      </w:r>
      <w:r>
        <w:rPr>
          <w:rFonts w:hint="eastAsia"/>
          <w:b w:val="0"/>
          <w:bCs/>
          <w:szCs w:val="21"/>
        </w:rPr>
        <w:t>.请将本品放在儿童不能接触的地方。</w:t>
      </w:r>
    </w:p>
    <w:p w14:paraId="02464F15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11</w:t>
      </w:r>
      <w:r>
        <w:rPr>
          <w:rFonts w:hint="eastAsia"/>
          <w:b w:val="0"/>
          <w:bCs/>
          <w:szCs w:val="21"/>
        </w:rPr>
        <w:t>.如正在使用其他药品，使用本品前请咨询医师或药师。</w:t>
      </w:r>
    </w:p>
    <w:p w14:paraId="6B276D54">
      <w:pPr>
        <w:spacing w:line="360" w:lineRule="exact"/>
        <w:rPr>
          <w:b w:val="0"/>
          <w:bCs/>
          <w:szCs w:val="21"/>
        </w:rPr>
      </w:pPr>
      <w:r>
        <w:rPr>
          <w:b w:val="0"/>
          <w:bCs/>
          <w:szCs w:val="21"/>
        </w:rPr>
        <w:t>[</w:t>
      </w:r>
      <w:r>
        <w:rPr>
          <w:rFonts w:hint="eastAsia"/>
          <w:b w:val="0"/>
          <w:bCs/>
          <w:szCs w:val="21"/>
        </w:rPr>
        <w:t>药物相互作用]如与其他药物同时使用可能会发生药物相互作用，详情请咨询医师或药师。</w:t>
      </w:r>
    </w:p>
    <w:p w14:paraId="25182AF8">
      <w:pPr>
        <w:spacing w:line="360" w:lineRule="exact"/>
        <w:rPr>
          <w:b w:val="0"/>
          <w:bCs/>
        </w:rPr>
      </w:pPr>
      <w:r>
        <w:rPr>
          <w:b w:val="0"/>
          <w:bCs/>
        </w:rPr>
        <w:t>[</w:t>
      </w:r>
      <w:r>
        <w:rPr>
          <w:rFonts w:hint="eastAsia"/>
          <w:b w:val="0"/>
          <w:bCs/>
        </w:rPr>
        <w:t>贮藏</w:t>
      </w:r>
      <w:r>
        <w:rPr>
          <w:b w:val="0"/>
          <w:bCs/>
        </w:rPr>
        <w:t xml:space="preserve">] 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包装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有效期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执行标准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批准文号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说明书修订日期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b w:val="0"/>
          <w:bCs/>
        </w:rPr>
        <w:t>[</w:t>
      </w:r>
      <w:r>
        <w:rPr>
          <w:rFonts w:hint="eastAsia"/>
          <w:b w:val="0"/>
          <w:bCs/>
        </w:rPr>
        <w:t>药品上市许可持有人</w:t>
      </w:r>
      <w:r>
        <w:rPr>
          <w:b w:val="0"/>
          <w:bCs/>
        </w:rPr>
        <w:t>]</w:t>
      </w:r>
    </w:p>
    <w:p w14:paraId="11209224">
      <w:pPr>
        <w:spacing w:line="360" w:lineRule="exact"/>
        <w:rPr>
          <w:b w:val="0"/>
          <w:bCs/>
        </w:rPr>
      </w:pPr>
      <w:r>
        <w:rPr>
          <w:rFonts w:hint="eastAsia"/>
          <w:b w:val="0"/>
          <w:bCs/>
        </w:rPr>
        <w:t>名</w:t>
      </w:r>
      <w:r>
        <w:rPr>
          <w:b w:val="0"/>
          <w:bCs/>
        </w:rPr>
        <w:t xml:space="preserve">    </w:t>
      </w:r>
      <w:r>
        <w:rPr>
          <w:rFonts w:hint="eastAsia"/>
          <w:b w:val="0"/>
          <w:bCs/>
        </w:rPr>
        <w:t>称：</w:t>
      </w:r>
      <w:r>
        <w:rPr>
          <w:b w:val="0"/>
          <w:bCs/>
        </w:rPr>
        <w:t xml:space="preserve"> 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注册地址：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邮政编码：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电话号码：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传真号码：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网</w:t>
      </w:r>
      <w:r>
        <w:rPr>
          <w:b w:val="0"/>
          <w:bCs/>
        </w:rPr>
        <w:t xml:space="preserve">    </w:t>
      </w:r>
      <w:r>
        <w:rPr>
          <w:rFonts w:hint="eastAsia"/>
          <w:b w:val="0"/>
          <w:bCs/>
        </w:rPr>
        <w:t>址：</w:t>
      </w:r>
    </w:p>
    <w:p w14:paraId="4D896FD4">
      <w:pPr>
        <w:spacing w:line="360" w:lineRule="exact"/>
        <w:rPr>
          <w:b w:val="0"/>
          <w:bCs/>
        </w:rPr>
      </w:pPr>
      <w:r>
        <w:rPr>
          <w:b w:val="0"/>
          <w:bCs/>
        </w:rPr>
        <w:t>[</w:t>
      </w:r>
      <w:r>
        <w:rPr>
          <w:rFonts w:hint="eastAsia"/>
          <w:b w:val="0"/>
          <w:bCs/>
        </w:rPr>
        <w:t>生产企业</w:t>
      </w:r>
      <w:r>
        <w:rPr>
          <w:b w:val="0"/>
          <w:bCs/>
        </w:rPr>
        <w:t>]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企业名称：</w:t>
      </w:r>
      <w:r>
        <w:rPr>
          <w:b w:val="0"/>
          <w:bCs/>
        </w:rPr>
        <w:t xml:space="preserve"> </w:t>
      </w:r>
      <w:r>
        <w:rPr>
          <w:b w:val="0"/>
          <w:bCs/>
        </w:rPr>
        <w:br w:type="textWrapping"/>
      </w:r>
      <w:r>
        <w:rPr>
          <w:rFonts w:hint="eastAsia"/>
          <w:b w:val="0"/>
          <w:bCs/>
        </w:rPr>
        <w:t>生产地址：</w:t>
      </w:r>
      <w:r>
        <w:rPr>
          <w:b w:val="0"/>
          <w:bCs/>
        </w:rPr>
        <w:br w:type="textWrapping"/>
      </w:r>
      <w:r>
        <w:rPr>
          <w:rFonts w:hint="eastAsia"/>
          <w:b/>
          <w:bCs w:val="0"/>
        </w:rPr>
        <w:t>如有问题可与药品上市许可持有人联系。</w:t>
      </w:r>
    </w:p>
    <w:p w14:paraId="367D07D3">
      <w:pPr>
        <w:spacing w:line="360" w:lineRule="exact"/>
        <w:rPr>
          <w:b w:val="0"/>
          <w:bCs/>
        </w:rPr>
      </w:pPr>
    </w:p>
    <w:p w14:paraId="1B9160C0">
      <w:pPr>
        <w:spacing w:line="360" w:lineRule="exact"/>
        <w:rPr>
          <w:b w:val="0"/>
          <w:bCs/>
        </w:rPr>
      </w:pPr>
    </w:p>
    <w:p w14:paraId="740D1C52">
      <w:pPr>
        <w:ind w:firstLine="420" w:firstLineChars="200"/>
        <w:rPr>
          <w:b w:val="0"/>
          <w:bCs/>
        </w:rPr>
      </w:pPr>
      <w:r>
        <w:rPr>
          <w:rFonts w:hint="eastAsia" w:ascii="Calibri" w:hAnsi="Calibri"/>
          <w:b w:val="0"/>
          <w:bCs/>
          <w:szCs w:val="21"/>
        </w:rPr>
        <w:t>（注：本说明书范本原则上不得删减，如原批准说明书的安全性内容较本范本内容更全面或者更严格的，应当保留原批准内容。）</w:t>
      </w:r>
    </w:p>
    <w:p w14:paraId="00D7D3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A61E6"/>
    <w:rsid w:val="172A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2026-07-31T08:15:00Z</dcterms:created>
  <dc:creator>YU</dc:creator>
  <cp:lastModifiedBy>YU</cp:lastModifiedBy>
  <dcterms:modified xsi:type="dcterms:W3CDTF">2026-07-31T08:16:00Z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89940419197D43988C29EE6E713025A5_11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