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r>
        <w:rPr>
          <w:rFonts w:hint="eastAsia" w:asciiTheme="minorEastAsia" w:hAnsiTheme="minorEastAsia" w:eastAsiaTheme="minorEastAsia" w:cstheme="minorEastAsia"/>
          <w:sz w:val="44"/>
          <w:szCs w:val="44"/>
          <w:lang w:val="en-US" w:eastAsia="zh-CN"/>
        </w:rPr>
        <w:t>结算账户登记</w:t>
      </w:r>
      <w:r>
        <w:rPr>
          <w:rFonts w:hint="eastAsia" w:asciiTheme="minorEastAsia" w:hAnsiTheme="minorEastAsia" w:cstheme="minorEastAsia"/>
          <w:sz w:val="44"/>
          <w:szCs w:val="44"/>
          <w:lang w:val="en-US" w:eastAsia="zh-CN"/>
        </w:rPr>
        <w:t>操作手册</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r>
        <w:rPr>
          <w:rFonts w:hint="eastAsia" w:asciiTheme="minorEastAsia" w:hAnsiTheme="minorEastAsia" w:cstheme="minorEastAsia"/>
          <w:sz w:val="44"/>
          <w:szCs w:val="44"/>
          <w:lang w:val="en-US" w:eastAsia="zh-CN"/>
        </w:rPr>
        <w:t>（配送企业）</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heme="minorEastAsia" w:hAnsiTheme="minorEastAsia" w:cstheme="minorEastAsia"/>
          <w:sz w:val="44"/>
          <w:szCs w:val="44"/>
          <w:lang w:val="en-US" w:eastAsia="zh-CN"/>
        </w:rPr>
      </w:pPr>
    </w:p>
    <w:p>
      <w:pPr>
        <w:pStyle w:val="2"/>
        <w:keepNext/>
        <w:keepLines/>
        <w:pageBreakBefore w:val="0"/>
        <w:widowControl/>
        <w:numPr>
          <w:ilvl w:val="0"/>
          <w:numId w:val="1"/>
        </w:numPr>
        <w:kinsoku/>
        <w:wordWrap/>
        <w:overflowPunct/>
        <w:topLinePunct w:val="0"/>
        <w:autoSpaceDE/>
        <w:autoSpaceDN/>
        <w:bidi w:val="0"/>
        <w:adjustRightInd/>
        <w:snapToGrid/>
        <w:spacing w:before="313" w:beforeLines="100" w:after="313" w:afterLines="100" w:line="300" w:lineRule="auto"/>
        <w:ind w:left="425" w:leftChars="0" w:hanging="425" w:firstLineChars="0"/>
        <w:jc w:val="left"/>
        <w:textAlignment w:val="auto"/>
        <w:outlineLvl w:val="0"/>
        <w:rPr>
          <w:rFonts w:hint="default" w:asciiTheme="minorEastAsia" w:hAnsiTheme="minorEastAsia" w:cstheme="minorEastAsia"/>
          <w:sz w:val="44"/>
          <w:szCs w:val="44"/>
          <w:lang w:val="en-US" w:eastAsia="zh-CN"/>
        </w:rPr>
      </w:pPr>
      <w:r>
        <w:rPr>
          <w:rFonts w:hint="eastAsia" w:asciiTheme="minorEastAsia" w:hAnsiTheme="minorEastAsia" w:cstheme="minorEastAsia"/>
          <w:sz w:val="44"/>
          <w:szCs w:val="44"/>
          <w:lang w:val="en-US" w:eastAsia="zh-CN"/>
        </w:rPr>
        <w:t>结算账户登记</w:t>
      </w:r>
    </w:p>
    <w:p>
      <w:pPr>
        <w:widowControl/>
        <w:spacing w:line="360" w:lineRule="auto"/>
        <w:ind w:firstLine="42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【业务描述】</w:t>
      </w:r>
    </w:p>
    <w:p>
      <w:pPr>
        <w:widowControl/>
        <w:spacing w:line="360" w:lineRule="auto"/>
        <w:ind w:firstLine="42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需要在内蒙古医药集中采购平台开展药品或医用耗材网上采购结算业务，符合条件的配送企业直接申请登记收款账户信息。</w:t>
      </w:r>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【备注】操作手册中涉及内容均为测试数据。</w:t>
      </w:r>
    </w:p>
    <w:p>
      <w:pPr>
        <w:pStyle w:val="3"/>
        <w:keepNext/>
        <w:keepLines/>
        <w:pageBreakBefore w:val="0"/>
        <w:widowControl/>
        <w:numPr>
          <w:ilvl w:val="0"/>
          <w:numId w:val="0"/>
        </w:numPr>
        <w:kinsoku/>
        <w:wordWrap/>
        <w:overflowPunct/>
        <w:topLinePunct w:val="0"/>
        <w:autoSpaceDE/>
        <w:autoSpaceDN/>
        <w:bidi w:val="0"/>
        <w:adjustRightInd/>
        <w:snapToGrid/>
        <w:spacing w:before="0" w:after="0" w:line="300" w:lineRule="auto"/>
        <w:ind w:leftChars="0"/>
        <w:jc w:val="left"/>
        <w:textAlignment w:val="auto"/>
        <w:outlineLvl w:val="2"/>
        <w:rPr>
          <w:rFonts w:hint="default" w:ascii="宋体" w:hAnsi="宋体" w:eastAsia="宋体" w:cs="宋体"/>
          <w:kern w:val="0"/>
          <w:lang w:val="en-US" w:eastAsia="zh-CN"/>
        </w:rPr>
      </w:pPr>
      <w:r>
        <w:rPr>
          <w:rFonts w:hint="eastAsia" w:ascii="宋体" w:hAnsi="宋体" w:eastAsia="宋体" w:cs="宋体"/>
          <w:kern w:val="0"/>
          <w:lang w:val="en-US" w:eastAsia="zh-CN"/>
        </w:rPr>
        <w:t>1.1用户</w:t>
      </w:r>
      <w:r>
        <w:rPr>
          <w:rFonts w:hint="eastAsia" w:asciiTheme="majorEastAsia" w:hAnsiTheme="majorEastAsia" w:eastAsiaTheme="majorEastAsia" w:cstheme="majorEastAsia"/>
          <w:kern w:val="0"/>
          <w:lang w:val="en-US" w:eastAsia="zh-CN"/>
        </w:rPr>
        <w:t>登录</w:t>
      </w:r>
    </w:p>
    <w:p>
      <w:pPr>
        <w:widowControl/>
        <w:spacing w:line="360" w:lineRule="auto"/>
        <w:ind w:firstLine="42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所有配送企业完成注册，通过https://www.nmgybggfw.org.cn/hallEnter/#/Index进行登录。</w:t>
      </w:r>
    </w:p>
    <w:p>
      <w:pPr>
        <w:widowControl/>
        <w:spacing w:line="360" w:lineRule="auto"/>
        <w:jc w:val="left"/>
      </w:pPr>
      <w:r>
        <w:drawing>
          <wp:inline distT="0" distB="0" distL="114300" distR="114300">
            <wp:extent cx="5273675" cy="2190750"/>
            <wp:effectExtent l="0" t="0" r="9525" b="190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2190750"/>
                    </a:xfrm>
                    <a:prstGeom prst="rect">
                      <a:avLst/>
                    </a:prstGeom>
                    <a:noFill/>
                    <a:ln>
                      <a:noFill/>
                    </a:ln>
                  </pic:spPr>
                </pic:pic>
              </a:graphicData>
            </a:graphic>
          </wp:inline>
        </w:drawing>
      </w:r>
    </w:p>
    <w:p>
      <w:pPr>
        <w:pStyle w:val="3"/>
        <w:keepNext/>
        <w:keepLines/>
        <w:pageBreakBefore w:val="0"/>
        <w:widowControl/>
        <w:numPr>
          <w:ilvl w:val="0"/>
          <w:numId w:val="0"/>
        </w:numPr>
        <w:kinsoku/>
        <w:wordWrap/>
        <w:overflowPunct/>
        <w:topLinePunct w:val="0"/>
        <w:autoSpaceDE/>
        <w:autoSpaceDN/>
        <w:bidi w:val="0"/>
        <w:adjustRightInd/>
        <w:snapToGrid/>
        <w:spacing w:before="0" w:after="0" w:line="300" w:lineRule="auto"/>
        <w:ind w:leftChars="0"/>
        <w:jc w:val="left"/>
        <w:textAlignment w:val="auto"/>
        <w:outlineLvl w:val="2"/>
        <w:rPr>
          <w:rFonts w:hint="eastAsia" w:ascii="宋体" w:hAnsi="宋体" w:eastAsia="宋体" w:cs="宋体"/>
          <w:kern w:val="0"/>
          <w:lang w:val="en-US" w:eastAsia="zh-CN"/>
        </w:rPr>
      </w:pPr>
      <w:r>
        <w:rPr>
          <w:rFonts w:hint="eastAsia" w:ascii="宋体" w:hAnsi="宋体" w:eastAsia="宋体" w:cs="宋体"/>
          <w:kern w:val="0"/>
          <w:lang w:val="en-US" w:eastAsia="zh-CN"/>
        </w:rPr>
        <w:t>1.2招采企业服务</w:t>
      </w:r>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通过账号信息完成登录，点击【招采企业服务】。</w:t>
      </w:r>
    </w:p>
    <w:p>
      <w:pPr>
        <w:widowControl/>
        <w:spacing w:line="360" w:lineRule="auto"/>
        <w:jc w:val="left"/>
      </w:pPr>
      <w:r>
        <w:drawing>
          <wp:inline distT="0" distB="0" distL="114300" distR="114300">
            <wp:extent cx="5271135" cy="2767330"/>
            <wp:effectExtent l="0" t="0" r="1206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1135" cy="2767330"/>
                    </a:xfrm>
                    <a:prstGeom prst="rect">
                      <a:avLst/>
                    </a:prstGeom>
                    <a:noFill/>
                    <a:ln>
                      <a:noFill/>
                    </a:ln>
                  </pic:spPr>
                </pic:pic>
              </a:graphicData>
            </a:graphic>
          </wp:inline>
        </w:drawing>
      </w:r>
    </w:p>
    <w:p>
      <w:pPr>
        <w:pStyle w:val="3"/>
        <w:keepNext/>
        <w:keepLines/>
        <w:pageBreakBefore w:val="0"/>
        <w:widowControl/>
        <w:numPr>
          <w:ilvl w:val="0"/>
          <w:numId w:val="0"/>
        </w:numPr>
        <w:kinsoku/>
        <w:wordWrap/>
        <w:overflowPunct/>
        <w:topLinePunct w:val="0"/>
        <w:autoSpaceDE/>
        <w:autoSpaceDN/>
        <w:bidi w:val="0"/>
        <w:adjustRightInd/>
        <w:snapToGrid/>
        <w:spacing w:before="0" w:after="0" w:line="300" w:lineRule="auto"/>
        <w:ind w:leftChars="0"/>
        <w:jc w:val="left"/>
        <w:textAlignment w:val="auto"/>
        <w:outlineLvl w:val="2"/>
        <w:rPr>
          <w:rFonts w:hint="eastAsia" w:ascii="宋体" w:hAnsi="宋体" w:eastAsia="宋体" w:cs="宋体"/>
          <w:kern w:val="0"/>
          <w:lang w:val="en-US" w:eastAsia="zh-CN"/>
        </w:rPr>
      </w:pPr>
      <w:r>
        <w:rPr>
          <w:rFonts w:hint="eastAsia" w:ascii="宋体" w:hAnsi="宋体" w:eastAsia="宋体" w:cs="宋体"/>
          <w:kern w:val="0"/>
          <w:lang w:val="en-US" w:eastAsia="zh-CN"/>
        </w:rPr>
        <w:t>1.3医药采购网上业务办理</w:t>
      </w:r>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点击医药采购网上业务办理系统，在此系统中维护配送企业结算账户信息。</w:t>
      </w:r>
    </w:p>
    <w:p>
      <w:pPr>
        <w:widowControl/>
        <w:spacing w:line="360" w:lineRule="auto"/>
        <w:jc w:val="left"/>
      </w:pPr>
      <w:r>
        <w:drawing>
          <wp:inline distT="0" distB="0" distL="114300" distR="114300">
            <wp:extent cx="5262880" cy="2781935"/>
            <wp:effectExtent l="0" t="0" r="2032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2880" cy="2781935"/>
                    </a:xfrm>
                    <a:prstGeom prst="rect">
                      <a:avLst/>
                    </a:prstGeom>
                    <a:noFill/>
                    <a:ln>
                      <a:noFill/>
                    </a:ln>
                  </pic:spPr>
                </pic:pic>
              </a:graphicData>
            </a:graphic>
          </wp:inline>
        </w:drawing>
      </w:r>
    </w:p>
    <w:p>
      <w:pPr>
        <w:pStyle w:val="3"/>
        <w:keepNext/>
        <w:keepLines/>
        <w:pageBreakBefore w:val="0"/>
        <w:widowControl/>
        <w:numPr>
          <w:ilvl w:val="0"/>
          <w:numId w:val="0"/>
        </w:numPr>
        <w:kinsoku/>
        <w:wordWrap/>
        <w:overflowPunct/>
        <w:topLinePunct w:val="0"/>
        <w:autoSpaceDE/>
        <w:autoSpaceDN/>
        <w:bidi w:val="0"/>
        <w:adjustRightInd/>
        <w:snapToGrid/>
        <w:spacing w:before="0" w:after="0" w:line="300" w:lineRule="auto"/>
        <w:ind w:leftChars="0"/>
        <w:jc w:val="left"/>
        <w:textAlignment w:val="auto"/>
        <w:outlineLvl w:val="2"/>
        <w:rPr>
          <w:rFonts w:hint="eastAsia" w:ascii="宋体" w:hAnsi="宋体" w:eastAsia="宋体" w:cs="宋体"/>
          <w:kern w:val="0"/>
          <w:lang w:val="en-US" w:eastAsia="zh-CN"/>
        </w:rPr>
      </w:pPr>
      <w:r>
        <w:rPr>
          <w:rFonts w:hint="eastAsia" w:ascii="宋体" w:hAnsi="宋体" w:eastAsia="宋体" w:cs="宋体"/>
          <w:kern w:val="0"/>
          <w:lang w:val="en-US" w:eastAsia="zh-CN"/>
        </w:rPr>
        <w:t>1.4结算账户登记</w:t>
      </w:r>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在医药采购网上业务办理系统中选择【结算账户登记】，进入该模块进行信息维护。</w:t>
      </w:r>
    </w:p>
    <w:p>
      <w:pPr>
        <w:widowControl/>
        <w:spacing w:line="360" w:lineRule="auto"/>
        <w:jc w:val="left"/>
      </w:pPr>
      <w:r>
        <w:drawing>
          <wp:inline distT="0" distB="0" distL="114300" distR="114300">
            <wp:extent cx="5269230" cy="2478405"/>
            <wp:effectExtent l="0" t="0" r="1397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9230" cy="2478405"/>
                    </a:xfrm>
                    <a:prstGeom prst="rect">
                      <a:avLst/>
                    </a:prstGeom>
                    <a:noFill/>
                    <a:ln>
                      <a:noFill/>
                    </a:ln>
                  </pic:spPr>
                </pic:pic>
              </a:graphicData>
            </a:graphic>
          </wp:inline>
        </w:drawing>
      </w:r>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配送企业在维护结算账户之前需要完成账号注册、认证工作，配送企业能够正常访问招采子系统，再根据开展业务需要完善药品、医用耗材的结算账户信息。若企业维护业务类型是药品，结算账户只需要维护药品的结算账户；企业维护的业务类型是医用耗材，结算账户只需要维护医用耗材的结算账户；企业维护的业务类型是药品+医用耗材，则需要维护药品和医用耗材的结算账户。</w:t>
      </w:r>
    </w:p>
    <w:p>
      <w:pPr>
        <w:widowControl/>
        <w:spacing w:line="360" w:lineRule="auto"/>
        <w:jc w:val="left"/>
        <w:rPr>
          <w:rFonts w:hint="default"/>
          <w:lang w:val="en-US" w:eastAsia="zh-CN"/>
        </w:rPr>
      </w:pPr>
      <w:r>
        <w:drawing>
          <wp:inline distT="0" distB="0" distL="114300" distR="114300">
            <wp:extent cx="5266690" cy="2440305"/>
            <wp:effectExtent l="0" t="0" r="16510" b="234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6690" cy="2440305"/>
                    </a:xfrm>
                    <a:prstGeom prst="rect">
                      <a:avLst/>
                    </a:prstGeom>
                    <a:noFill/>
                    <a:ln>
                      <a:noFill/>
                    </a:ln>
                  </pic:spPr>
                </pic:pic>
              </a:graphicData>
            </a:graphic>
          </wp:inline>
        </w:drawing>
      </w:r>
    </w:p>
    <w:p>
      <w:pPr>
        <w:widowControl/>
        <w:spacing w:line="360" w:lineRule="auto"/>
        <w:ind w:firstLine="42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企业需上传银行开户证明，并加盖企业公章；企业注册名称与结算账户收款方户名不一致的，除银行开户证明外，还需上传名称不一致的情况说明，并加盖企业公章。</w:t>
      </w:r>
      <w:bookmarkStart w:id="0" w:name="_GoBack"/>
      <w:bookmarkEnd w:id="0"/>
    </w:p>
    <w:p>
      <w:pPr>
        <w:widowControl/>
        <w:spacing w:line="360" w:lineRule="auto"/>
        <w:ind w:firstLine="42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所有带</w:t>
      </w:r>
      <w:r>
        <w:rPr>
          <w:rFonts w:hint="eastAsia" w:ascii="宋体" w:hAnsi="宋体" w:eastAsia="宋体" w:cs="宋体"/>
          <w:color w:val="FF0000"/>
          <w:kern w:val="0"/>
          <w:sz w:val="28"/>
          <w:szCs w:val="28"/>
          <w:lang w:val="en-US" w:eastAsia="zh-CN"/>
        </w:rPr>
        <w:t>*</w:t>
      </w:r>
      <w:r>
        <w:rPr>
          <w:rFonts w:hint="eastAsia" w:ascii="宋体" w:hAnsi="宋体" w:eastAsia="宋体" w:cs="宋体"/>
          <w:kern w:val="0"/>
          <w:sz w:val="28"/>
          <w:szCs w:val="28"/>
          <w:lang w:val="en-US" w:eastAsia="zh-CN"/>
        </w:rPr>
        <w:t>的内容依据实际情况进行维护，维护完成进行【保存】、【立即提交】。</w:t>
      </w:r>
    </w:p>
    <w:p>
      <w:pPr>
        <w:rPr>
          <w:rFonts w:hint="default"/>
          <w:lang w:val="en-US" w:eastAsia="zh-CN"/>
        </w:rPr>
      </w:pPr>
      <w:r>
        <w:drawing>
          <wp:inline distT="0" distB="0" distL="114300" distR="114300">
            <wp:extent cx="5266690" cy="2440305"/>
            <wp:effectExtent l="0" t="0" r="16510" b="234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6690" cy="24403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416B40"/>
    <w:multiLevelType w:val="multilevel"/>
    <w:tmpl w:val="E8416B40"/>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3MWE4N2Y4Y2NkNDlkNTZhZTQ0NTZlNjI4N2I5NmQifQ=="/>
  </w:docVars>
  <w:rsids>
    <w:rsidRoot w:val="FD73DB3C"/>
    <w:rsid w:val="33720477"/>
    <w:rsid w:val="E555FC7D"/>
    <w:rsid w:val="FD73DB3C"/>
    <w:rsid w:val="FF794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autoRedefine/>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2024-09-12T11:44:00Z</dcterms:created>
  <dc:creator>小马</dc:creator>
  <cp:lastModifiedBy>张宏原</cp:lastModifiedBy>
  <dcterms:modified xsi:type="dcterms:W3CDTF">2024-09-14T01:47:40Z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1ED118199BDAFB2F9490E26684C66ABA_43</vt:lpwstr>
  </property>
</Properties>
</file>