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jc w:val="left"/>
        <w:textAlignment w:val="auto"/>
        <w:rPr>
          <w:rFonts w:hint="eastAsia" w:ascii="Times New Roman" w:hAnsi="Times New Roman" w:eastAsia="方正黑体_GBK" w:cs="方正黑体_GBK"/>
          <w:sz w:val="32"/>
          <w:szCs w:val="32"/>
          <w:lang w:val="en-US" w:eastAsia="zh-CN"/>
        </w:rPr>
      </w:pPr>
      <w:bookmarkStart w:id="1" w:name="_GoBack"/>
      <w:bookmarkEnd w:id="1"/>
      <w:r>
        <w:rPr>
          <w:rFonts w:hint="eastAsia" w:ascii="Times New Roman" w:hAnsi="Times New Roman" w:eastAsia="方正黑体_GBK" w:cs="方正黑体_GBK"/>
          <w:sz w:val="32"/>
          <w:szCs w:val="32"/>
          <w:lang w:eastAsia="zh-CN"/>
        </w:rPr>
        <w:t>附件</w:t>
      </w:r>
      <w:r>
        <w:rPr>
          <w:rFonts w:hint="eastAsia" w:ascii="Times New Roman" w:hAnsi="Times New Roman" w:eastAsia="方正黑体_GBK" w:cs="方正黑体_GBK"/>
          <w:sz w:val="32"/>
          <w:szCs w:val="32"/>
          <w:lang w:val="en-US" w:eastAsia="zh-CN"/>
        </w:rPr>
        <w:t>1</w:t>
      </w:r>
    </w:p>
    <w:p>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snapToGrid w:val="0"/>
          <w:kern w:val="0"/>
          <w:sz w:val="44"/>
          <w:szCs w:val="44"/>
          <w:shd w:val="clear" w:color="auto" w:fill="FFFFFF"/>
          <w:lang w:bidi="ar"/>
        </w:rPr>
      </w:pPr>
      <w:r>
        <w:rPr>
          <w:rFonts w:hint="eastAsia" w:ascii="方正小标宋_GBK" w:hAnsi="方正小标宋_GBK" w:eastAsia="方正小标宋_GBK" w:cs="方正小标宋_GBK"/>
          <w:snapToGrid w:val="0"/>
          <w:kern w:val="0"/>
          <w:sz w:val="44"/>
          <w:szCs w:val="44"/>
          <w:shd w:val="clear" w:color="auto" w:fill="FFFFFF"/>
          <w:lang w:eastAsia="zh-CN" w:bidi="ar"/>
        </w:rPr>
        <w:t>药学类</w:t>
      </w:r>
      <w:r>
        <w:rPr>
          <w:rFonts w:hint="eastAsia" w:ascii="方正小标宋_GBK" w:hAnsi="方正小标宋_GBK" w:eastAsia="方正小标宋_GBK" w:cs="方正小标宋_GBK"/>
          <w:snapToGrid w:val="0"/>
          <w:kern w:val="0"/>
          <w:sz w:val="44"/>
          <w:szCs w:val="44"/>
          <w:shd w:val="clear" w:color="auto" w:fill="FFFFFF"/>
          <w:lang w:bidi="ar"/>
        </w:rPr>
        <w:t>医疗服务价格项目表</w:t>
      </w:r>
    </w:p>
    <w:tbl>
      <w:tblPr>
        <w:tblStyle w:val="8"/>
        <w:tblpPr w:leftFromText="180" w:rightFromText="180" w:vertAnchor="text" w:horzAnchor="page" w:tblpXSpec="center" w:tblpY="618"/>
        <w:tblOverlap w:val="never"/>
        <w:tblW w:w="147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8"/>
        <w:gridCol w:w="1577"/>
        <w:gridCol w:w="1045"/>
        <w:gridCol w:w="1985"/>
        <w:gridCol w:w="1470"/>
        <w:gridCol w:w="763"/>
        <w:gridCol w:w="1840"/>
        <w:gridCol w:w="750"/>
        <w:gridCol w:w="824"/>
        <w:gridCol w:w="676"/>
        <w:gridCol w:w="1236"/>
        <w:gridCol w:w="720"/>
        <w:gridCol w:w="779"/>
        <w:gridCol w:w="7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9" w:hRule="atLeast"/>
          <w:jc w:val="center"/>
        </w:trPr>
        <w:tc>
          <w:tcPr>
            <w:tcW w:w="4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序号</w:t>
            </w:r>
          </w:p>
        </w:tc>
        <w:tc>
          <w:tcPr>
            <w:tcW w:w="15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项目编码</w:t>
            </w: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项目名称</w:t>
            </w:r>
          </w:p>
        </w:tc>
        <w:tc>
          <w:tcPr>
            <w:tcW w:w="19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服务产出</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价格构成</w:t>
            </w:r>
          </w:p>
        </w:tc>
        <w:tc>
          <w:tcPr>
            <w:tcW w:w="7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kern w:val="0"/>
                <w:sz w:val="18"/>
                <w:szCs w:val="18"/>
                <w:u w:val="none"/>
                <w:lang w:val="en-US" w:eastAsia="zh-CN" w:bidi="ar"/>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计价</w:t>
            </w:r>
          </w:p>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单位</w:t>
            </w:r>
          </w:p>
        </w:tc>
        <w:tc>
          <w:tcPr>
            <w:tcW w:w="1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计价说明</w:t>
            </w:r>
          </w:p>
        </w:tc>
        <w:tc>
          <w:tcPr>
            <w:tcW w:w="348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政府指导价</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医保属性</w:t>
            </w:r>
          </w:p>
        </w:tc>
        <w:tc>
          <w:tcPr>
            <w:tcW w:w="7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医保支付限制</w:t>
            </w:r>
          </w:p>
        </w:tc>
        <w:tc>
          <w:tcPr>
            <w:tcW w:w="7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归集口径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jc w:val="center"/>
        </w:trPr>
        <w:tc>
          <w:tcPr>
            <w:tcW w:w="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黑体_GBK" w:cs="方正黑体_GBK"/>
                <w:b w:val="0"/>
                <w:bCs w:val="0"/>
                <w:i w:val="0"/>
                <w:iCs w:val="0"/>
                <w:color w:val="000000"/>
                <w:sz w:val="18"/>
                <w:szCs w:val="1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黑体_GBK" w:cs="方正黑体_GBK"/>
                <w:b w:val="0"/>
                <w:bCs w:val="0"/>
                <w:i w:val="0"/>
                <w:iCs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黑体_GBK" w:cs="方正黑体_GBK"/>
                <w:b w:val="0"/>
                <w:bCs w:val="0"/>
                <w:i w:val="0"/>
                <w:iCs w:val="0"/>
                <w:color w:val="000000"/>
                <w:sz w:val="18"/>
                <w:szCs w:val="18"/>
                <w:u w:val="none"/>
              </w:rPr>
            </w:pP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黑体_GBK" w:cs="方正黑体_GBK"/>
                <w:b w:val="0"/>
                <w:bCs w:val="0"/>
                <w:i w:val="0"/>
                <w:iCs w:val="0"/>
                <w:color w:val="000000"/>
                <w:sz w:val="18"/>
                <w:szCs w:val="18"/>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黑体_GBK" w:cs="方正黑体_GBK"/>
                <w:b w:val="0"/>
                <w:bCs w:val="0"/>
                <w:i w:val="0"/>
                <w:iCs w:val="0"/>
                <w:color w:val="000000"/>
                <w:sz w:val="18"/>
                <w:szCs w:val="18"/>
                <w:u w:val="none"/>
              </w:rPr>
            </w:pPr>
          </w:p>
        </w:tc>
        <w:tc>
          <w:tcPr>
            <w:tcW w:w="7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黑体_GBK" w:cs="方正黑体_GBK"/>
                <w:b w:val="0"/>
                <w:bCs w:val="0"/>
                <w:i w:val="0"/>
                <w:iCs w:val="0"/>
                <w:color w:val="000000"/>
                <w:sz w:val="18"/>
                <w:szCs w:val="18"/>
                <w:u w:val="none"/>
              </w:rPr>
            </w:pPr>
          </w:p>
        </w:tc>
        <w:tc>
          <w:tcPr>
            <w:tcW w:w="1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黑体_GBK" w:cs="方正黑体_GBK"/>
                <w:b w:val="0"/>
                <w:bCs w:val="0"/>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三级医院</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kern w:val="0"/>
                <w:sz w:val="18"/>
                <w:szCs w:val="18"/>
                <w:u w:val="none"/>
                <w:lang w:val="en-US" w:eastAsia="zh-CN" w:bidi="ar"/>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二级</w:t>
            </w:r>
          </w:p>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医院</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一级医院</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其他医疗机构（含基层医疗机构）</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b/>
                <w:bCs/>
                <w:i w:val="0"/>
                <w:iCs w:val="0"/>
                <w:color w:val="000000"/>
                <w:sz w:val="18"/>
                <w:szCs w:val="18"/>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b/>
                <w:bCs/>
                <w:i w:val="0"/>
                <w:iCs w:val="0"/>
                <w:color w:val="000000"/>
                <w:sz w:val="18"/>
                <w:szCs w:val="18"/>
                <w:u w:val="none"/>
              </w:rPr>
            </w:pPr>
          </w:p>
        </w:tc>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18"/>
                <w:szCs w:val="18"/>
                <w:u w:val="none"/>
              </w:rPr>
            </w:pP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药学类</w:t>
            </w:r>
          </w:p>
        </w:tc>
        <w:tc>
          <w:tcPr>
            <w:tcW w:w="954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使用说明：</w:t>
            </w: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1.本类项目以药学类服务为重点，覆盖相关常用药学类服务价格项目。</w:t>
            </w: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2.根据《深化医疗服务价格改革试点方案》（医保发〔2021〕41号）关于“厘清价格项目与临床诊疗技术规范、医疗机构成本要素、不同应用场景和收费标准等的政策边界。分类整合现行价格项目，实现价格项目与操作步骤、诊疗部位等技术细节脱钩，增强现行价格项目对医疗技术和医疗活动改良创新的兼容性”的要求，服务产出相同的一类项目在操作层面存在差异，但在价格项目和定价水平层面具备合并同类项的条件，立项指南对此进行合并。所定价格属于政府指导价为最高限价，下浮不限。医疗机构申报技术改良进步价格项目的，可采取“现有项目兼容”方式处理，经向本地区医疗保障部门报告后可按照对应的项目执行。</w:t>
            </w: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3.本立项指南所称“价格构成”，指项目价格应涵盖的各类资源消耗，用于确定计价单元的边界，是制定调整项目价格的测算因子，不应作为临床技术标准理解，不是实际操作方式、路径、步骤、程序的强制性要求，价格构成中包含但临床实践中非必要、未发生的，无需强制要求公立医疗机构减计费用。所列“设备投入”包括但不限于操作设备、器具及固定资产投入。</w:t>
            </w: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4.本立项指南所称“加收项”，指同一项目以不同方式提供或在不同场景应用时，确有必要制定差异化收费标准而细分的一类子项，包括在原项目价格基础上增加或减少收费的情况；实际应用中，同时涉及多个加收项的，以项目单价为基础计算相应的加/减收水平后，据实收费。</w:t>
            </w: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5.本立项指南所称“扩展项”，指同一项目下以不同方式提供或在不同场景应用时，只扩展价格项目适用范围、不额外加价的一类子项，子项的价格按主项目执行。</w:t>
            </w: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6. 本立项指南中所称“基本物质资源消耗”，指原则上限于不应或不必要与医疗服务项目分割的易耗品，包括但不限于各类消杀灭菌用品、储存用品、清洁用品、个人防护用品、垃圾处理用品、滑石粉、标签、中单、护（尿）垫、棉球、棉签、纱布（垫）、治疗护理盘（包）、治疗巾（单）、手术巾（单）、手术包、注射器、试剂（含固定液等辅助试剂）、可复用的操作器具等。基本物质资源消耗成本计入项目价格，不另行收费。除基本物质资源消耗以外的其他耗材，按照实际采购价格零差率销售。</w:t>
            </w: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7.药敏检验、基因检测等与用药指导相关的医疗服务价格项目在病理类和检验类立项指南中另行规定。</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16"/>
                <w:szCs w:val="16"/>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16"/>
                <w:szCs w:val="16"/>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2"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011102020030000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门诊诊查费（药学门诊）</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指卫生主管部门认定具有药学门诊资质的临床药师，提供技术劳务的门诊药学/中药学服务，包含为患者提供从药学/中药学咨询到用药指导，制定用药方案的药学服务。</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所定价格涵盖核实信息、药学咨询、评估用药情况、开展药学指导、制定用药方案、干预或提出药物重整建议、建立药历等所需的人力资源和基本物质资源消耗。</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次</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1.本项目的药学服务涵盖西药、中药及民族药。</w:t>
            </w: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2.一般诊疗费已包含药事服务成本，基层医疗机构收取一般诊疗费时，不得同时收取“门诊诊查费（药学门诊）”。</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15.0 </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9.0</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6.0 </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6.0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3"/>
                <w:szCs w:val="13"/>
                <w:u w:val="none"/>
              </w:rPr>
            </w:pPr>
            <w:r>
              <w:rPr>
                <w:rFonts w:hint="eastAsia" w:ascii="Times New Roman" w:hAnsi="Times New Roman" w:eastAsia="宋体" w:cs="宋体"/>
                <w:i w:val="0"/>
                <w:iCs w:val="0"/>
                <w:color w:val="000000"/>
                <w:kern w:val="0"/>
                <w:sz w:val="13"/>
                <w:szCs w:val="13"/>
                <w:u w:val="none"/>
                <w:lang w:val="en-US" w:eastAsia="zh-CN" w:bidi="ar"/>
              </w:rPr>
              <w:t>甲类</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仿宋_GB2312" w:cs="仿宋_GB2312"/>
                <w:i w:val="0"/>
                <w:iCs w:val="0"/>
                <w:color w:val="000000"/>
                <w:sz w:val="13"/>
                <w:szCs w:val="13"/>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仿宋_GB2312"/>
                <w:i w:val="0"/>
                <w:iCs w:val="0"/>
                <w:color w:val="000000"/>
                <w:sz w:val="13"/>
                <w:szCs w:val="13"/>
                <w:u w:val="none"/>
              </w:rPr>
            </w:pPr>
            <w:r>
              <w:rPr>
                <w:rFonts w:hint="default" w:ascii="Times New Roman" w:hAnsi="Times New Roman" w:eastAsia="仿宋_GB2312" w:cs="仿宋_GB2312"/>
                <w:i w:val="0"/>
                <w:iCs w:val="0"/>
                <w:color w:val="000000"/>
                <w:kern w:val="0"/>
                <w:sz w:val="13"/>
                <w:szCs w:val="13"/>
                <w:u w:val="none"/>
                <w:lang w:val="en-US" w:eastAsia="zh-CN" w:bidi="ar"/>
              </w:rPr>
              <w:t>诊查费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15"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2</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011102020030001</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门诊诊查费（药学门诊）-副主任（中）药师（加收）</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left"/>
              <w:rPr>
                <w:rFonts w:hint="eastAsia" w:ascii="Times New Roman" w:hAnsi="Times New Roman" w:eastAsia="宋体" w:cs="宋体"/>
                <w:i w:val="0"/>
                <w:iCs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left"/>
              <w:rPr>
                <w:rFonts w:hint="eastAsia" w:ascii="Times New Roman" w:hAnsi="Times New Roman" w:eastAsia="宋体" w:cs="宋体"/>
                <w:i w:val="0"/>
                <w:iCs w:val="0"/>
                <w:color w:val="000000"/>
                <w:sz w:val="18"/>
                <w:szCs w:val="18"/>
                <w:u w:val="none"/>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次</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rPr>
                <w:rFonts w:hint="eastAsia" w:ascii="Times New Roman" w:hAnsi="Times New Roman" w:eastAsia="宋体" w:cs="宋体"/>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7.0 </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6.0 </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4.0 </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4.0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3"/>
                <w:szCs w:val="13"/>
                <w:u w:val="none"/>
              </w:rPr>
            </w:pPr>
            <w:r>
              <w:rPr>
                <w:rFonts w:hint="eastAsia" w:ascii="Times New Roman" w:hAnsi="Times New Roman" w:eastAsia="宋体" w:cs="宋体"/>
                <w:i w:val="0"/>
                <w:iCs w:val="0"/>
                <w:color w:val="000000"/>
                <w:kern w:val="0"/>
                <w:sz w:val="13"/>
                <w:szCs w:val="13"/>
                <w:u w:val="none"/>
                <w:lang w:val="en-US" w:eastAsia="zh-CN" w:bidi="ar"/>
              </w:rPr>
              <w:t>甲类</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仿宋_GB2312" w:cs="仿宋_GB2312"/>
                <w:i w:val="0"/>
                <w:iCs w:val="0"/>
                <w:color w:val="000000"/>
                <w:sz w:val="13"/>
                <w:szCs w:val="13"/>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仿宋_GB2312"/>
                <w:i w:val="0"/>
                <w:iCs w:val="0"/>
                <w:color w:val="000000"/>
                <w:sz w:val="13"/>
                <w:szCs w:val="13"/>
                <w:u w:val="none"/>
              </w:rPr>
            </w:pPr>
            <w:r>
              <w:rPr>
                <w:rFonts w:hint="default" w:ascii="Times New Roman" w:hAnsi="Times New Roman" w:eastAsia="仿宋_GB2312" w:cs="仿宋_GB2312"/>
                <w:i w:val="0"/>
                <w:iCs w:val="0"/>
                <w:color w:val="000000"/>
                <w:kern w:val="0"/>
                <w:sz w:val="13"/>
                <w:szCs w:val="13"/>
                <w:u w:val="none"/>
                <w:lang w:val="en-US" w:eastAsia="zh-CN" w:bidi="ar"/>
              </w:rPr>
              <w:t>诊查费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5"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3</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011102020030002</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门诊诊查费（药学门诊）-主任（中）药师（加收）</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left"/>
              <w:rPr>
                <w:rFonts w:hint="eastAsia" w:ascii="Times New Roman" w:hAnsi="Times New Roman" w:eastAsia="宋体" w:cs="宋体"/>
                <w:i w:val="0"/>
                <w:iCs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left"/>
              <w:rPr>
                <w:rFonts w:hint="eastAsia" w:ascii="Times New Roman" w:hAnsi="Times New Roman" w:eastAsia="宋体" w:cs="宋体"/>
                <w:i w:val="0"/>
                <w:iCs w:val="0"/>
                <w:color w:val="000000"/>
                <w:sz w:val="18"/>
                <w:szCs w:val="18"/>
                <w:u w:val="none"/>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次</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rPr>
                <w:rFonts w:hint="eastAsia" w:ascii="Times New Roman" w:hAnsi="Times New Roman" w:eastAsia="宋体" w:cs="宋体"/>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15.0 </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11.0</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9.0</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9.0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3"/>
                <w:szCs w:val="13"/>
                <w:u w:val="none"/>
              </w:rPr>
            </w:pPr>
            <w:r>
              <w:rPr>
                <w:rFonts w:hint="eastAsia" w:ascii="Times New Roman" w:hAnsi="Times New Roman" w:eastAsia="宋体" w:cs="宋体"/>
                <w:i w:val="0"/>
                <w:iCs w:val="0"/>
                <w:color w:val="000000"/>
                <w:kern w:val="0"/>
                <w:sz w:val="13"/>
                <w:szCs w:val="13"/>
                <w:u w:val="none"/>
                <w:lang w:val="en-US" w:eastAsia="zh-CN" w:bidi="ar"/>
              </w:rPr>
              <w:t>甲类</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仿宋_GB2312" w:cs="仿宋_GB2312"/>
                <w:i w:val="0"/>
                <w:iCs w:val="0"/>
                <w:color w:val="000000"/>
                <w:sz w:val="13"/>
                <w:szCs w:val="13"/>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仿宋_GB2312"/>
                <w:i w:val="0"/>
                <w:iCs w:val="0"/>
                <w:color w:val="000000"/>
                <w:sz w:val="13"/>
                <w:szCs w:val="13"/>
                <w:u w:val="none"/>
              </w:rPr>
            </w:pPr>
            <w:r>
              <w:rPr>
                <w:rFonts w:hint="default" w:ascii="Times New Roman" w:hAnsi="Times New Roman" w:eastAsia="仿宋_GB2312" w:cs="仿宋_GB2312"/>
                <w:i w:val="0"/>
                <w:iCs w:val="0"/>
                <w:color w:val="000000"/>
                <w:kern w:val="0"/>
                <w:sz w:val="13"/>
                <w:szCs w:val="13"/>
                <w:u w:val="none"/>
                <w:lang w:val="en-US" w:eastAsia="zh-CN" w:bidi="ar"/>
              </w:rPr>
              <w:t>诊查费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2"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4</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011102030020000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住院诊查费（临床药学）</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指医疗机构在患者住院期间提供药学综合服务，并由临床药师结合患者病情和用药情况，参与临床医师住院巡诊，协同制定个体化药物治疗方案，并进行用药监护和用药安全指导的药学服务。</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所定价格涵盖参与住院巡诊、协同制定个体化药物治疗方案、疗效观察、药物不良反应监测、安全用药指导、干预或提出药物重整等建议、建立药历等所需的人力资源和基本物质资源消耗。</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日</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符合规定资质的临床药师参与临床医师住院巡诊，每日收取10元；住院天数≤30天的，收取费用最高不超过60元；住院天数＞30天的，收取费用最高不超过100元。</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10.0 </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10.0 </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10.0 </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3"/>
                <w:szCs w:val="13"/>
                <w:u w:val="none"/>
              </w:rPr>
            </w:pPr>
            <w:r>
              <w:rPr>
                <w:rFonts w:hint="eastAsia" w:ascii="Times New Roman" w:hAnsi="Times New Roman" w:eastAsia="宋体" w:cs="宋体"/>
                <w:i w:val="0"/>
                <w:iCs w:val="0"/>
                <w:color w:val="000000"/>
                <w:kern w:val="0"/>
                <w:sz w:val="13"/>
                <w:szCs w:val="13"/>
                <w:u w:val="none"/>
                <w:lang w:val="en-US" w:eastAsia="zh-CN" w:bidi="ar"/>
              </w:rPr>
              <w:t>甲类</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仿宋_GB2312" w:cs="仿宋_GB2312"/>
                <w:i w:val="0"/>
                <w:iCs w:val="0"/>
                <w:color w:val="000000"/>
                <w:sz w:val="13"/>
                <w:szCs w:val="13"/>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仿宋_GB2312"/>
                <w:i w:val="0"/>
                <w:iCs w:val="0"/>
                <w:color w:val="000000"/>
                <w:sz w:val="13"/>
                <w:szCs w:val="13"/>
                <w:u w:val="none"/>
              </w:rPr>
            </w:pPr>
            <w:r>
              <w:rPr>
                <w:rFonts w:hint="default" w:ascii="Times New Roman" w:hAnsi="Times New Roman" w:eastAsia="仿宋_GB2312" w:cs="仿宋_GB2312"/>
                <w:i w:val="0"/>
                <w:iCs w:val="0"/>
                <w:color w:val="000000"/>
                <w:kern w:val="0"/>
                <w:sz w:val="13"/>
                <w:szCs w:val="13"/>
                <w:u w:val="none"/>
                <w:lang w:val="en-US" w:eastAsia="zh-CN" w:bidi="ar"/>
              </w:rPr>
              <w:t>诊查费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8"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5</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011400000010000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居家药学服务费</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指医疗机构派出药师为居家药物治疗的患者提供用药评估指导、家庭药箱管理等药学服务。</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所定价格涵盖上门提供药学咨询、评估用药情况、开展药学指导、制定用药方案、干预或提出药物重整建议、药箱整理等步骤所需的人力资源和基本物质资源消耗。</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次</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1.医疗机构上门提供居家药学服务的，按照上门提供医疗服务的收费政策，同样采取“居家药学服务费+上门服务费”的方式收费。</w:t>
            </w: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2.居家药学服务已合并计入家庭医生签约服务的，不得重复收取费用。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15.0 </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15.0 </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15.0 </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15.0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3"/>
                <w:szCs w:val="13"/>
                <w:u w:val="none"/>
              </w:rPr>
            </w:pPr>
            <w:r>
              <w:rPr>
                <w:rFonts w:hint="eastAsia" w:ascii="Times New Roman" w:hAnsi="Times New Roman" w:eastAsia="宋体" w:cs="宋体"/>
                <w:i w:val="0"/>
                <w:iCs w:val="0"/>
                <w:color w:val="000000"/>
                <w:kern w:val="0"/>
                <w:sz w:val="13"/>
                <w:szCs w:val="13"/>
                <w:u w:val="none"/>
                <w:lang w:val="en-US" w:eastAsia="zh-CN" w:bidi="ar"/>
              </w:rPr>
              <w:t>自费</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仿宋_GB2312"/>
                <w:i w:val="0"/>
                <w:iCs w:val="0"/>
                <w:color w:val="000000"/>
                <w:sz w:val="13"/>
                <w:szCs w:val="13"/>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仿宋_GB2312"/>
                <w:i w:val="0"/>
                <w:iCs w:val="0"/>
                <w:color w:val="000000"/>
                <w:sz w:val="13"/>
                <w:szCs w:val="13"/>
                <w:u w:val="none"/>
              </w:rPr>
            </w:pPr>
            <w:r>
              <w:rPr>
                <w:rFonts w:hint="default" w:ascii="Times New Roman" w:hAnsi="Times New Roman" w:eastAsia="仿宋_GB2312" w:cs="仿宋_GB2312"/>
                <w:i w:val="0"/>
                <w:iCs w:val="0"/>
                <w:color w:val="000000"/>
                <w:kern w:val="0"/>
                <w:sz w:val="13"/>
                <w:szCs w:val="13"/>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6</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011400000020000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药品集中配置费</w:t>
            </w: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（肠外营养液）</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按操作规范要求，在静脉药物配置中心集中配置肠外营养液。</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所定价格涵盖处方审核、药液配置、成品封装等步骤所需的人力资源和基本物质资源消耗。</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组</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40.0 </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36.4 </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34.6 </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32.8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3"/>
                <w:szCs w:val="13"/>
                <w:u w:val="none"/>
              </w:rPr>
            </w:pPr>
            <w:r>
              <w:rPr>
                <w:rFonts w:hint="eastAsia" w:ascii="Times New Roman" w:hAnsi="Times New Roman" w:eastAsia="宋体" w:cs="宋体"/>
                <w:i w:val="0"/>
                <w:iCs w:val="0"/>
                <w:color w:val="000000"/>
                <w:kern w:val="0"/>
                <w:sz w:val="13"/>
                <w:szCs w:val="13"/>
                <w:u w:val="none"/>
                <w:lang w:val="en-US" w:eastAsia="zh-CN" w:bidi="ar"/>
              </w:rPr>
              <w:t>甲类</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仿宋_GB2312"/>
                <w:i w:val="0"/>
                <w:iCs w:val="0"/>
                <w:color w:val="000000"/>
                <w:sz w:val="13"/>
                <w:szCs w:val="13"/>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仿宋_GB2312"/>
                <w:i w:val="0"/>
                <w:iCs w:val="0"/>
                <w:color w:val="000000"/>
                <w:sz w:val="13"/>
                <w:szCs w:val="13"/>
                <w:u w:val="none"/>
              </w:rPr>
            </w:pPr>
            <w:r>
              <w:rPr>
                <w:rFonts w:hint="default" w:ascii="Times New Roman" w:hAnsi="Times New Roman" w:eastAsia="仿宋_GB2312" w:cs="仿宋_GB2312"/>
                <w:i w:val="0"/>
                <w:iCs w:val="0"/>
                <w:color w:val="000000"/>
                <w:kern w:val="0"/>
                <w:sz w:val="13"/>
                <w:szCs w:val="13"/>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7</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011400000030000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药品集中配置费</w:t>
            </w: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（危害药品）</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按操作规范要求，在静脉药物配置中心集中配置危害药品。</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所定价格涵盖处方审核、药液配置、成品封装等步骤所需的人力资源和基本物质资源消耗。</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组</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20.0 </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18.2 </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17.3 </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16.4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3"/>
                <w:szCs w:val="13"/>
                <w:u w:val="none"/>
              </w:rPr>
            </w:pPr>
            <w:r>
              <w:rPr>
                <w:rFonts w:hint="eastAsia" w:ascii="Times New Roman" w:hAnsi="Times New Roman" w:eastAsia="宋体" w:cs="宋体"/>
                <w:i w:val="0"/>
                <w:iCs w:val="0"/>
                <w:color w:val="000000"/>
                <w:kern w:val="0"/>
                <w:sz w:val="13"/>
                <w:szCs w:val="13"/>
                <w:u w:val="none"/>
                <w:lang w:val="en-US" w:eastAsia="zh-CN" w:bidi="ar"/>
              </w:rPr>
              <w:t>甲类</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仿宋_GB2312"/>
                <w:i w:val="0"/>
                <w:iCs w:val="0"/>
                <w:color w:val="000000"/>
                <w:sz w:val="13"/>
                <w:szCs w:val="13"/>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仿宋_GB2312"/>
                <w:i w:val="0"/>
                <w:iCs w:val="0"/>
                <w:color w:val="000000"/>
                <w:sz w:val="13"/>
                <w:szCs w:val="13"/>
                <w:u w:val="none"/>
              </w:rPr>
            </w:pPr>
            <w:r>
              <w:rPr>
                <w:rFonts w:hint="default" w:ascii="Times New Roman" w:hAnsi="Times New Roman" w:eastAsia="仿宋_GB2312" w:cs="仿宋_GB2312"/>
                <w:i w:val="0"/>
                <w:iCs w:val="0"/>
                <w:color w:val="000000"/>
                <w:kern w:val="0"/>
                <w:sz w:val="13"/>
                <w:szCs w:val="13"/>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0"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8</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011400000040000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药物浓度测定费</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通过各种方式测量待测药物或其代谢物在样本中的具体浓度。</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所定价格涵盖样本签收、处理、定标、质控、检测、审核、登记录入、发送报告等步骤所需的人力资源和基本物质资源消耗。</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每种药物</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免疫抑制药物浓度测定加收50%。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120.0</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109.1 </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103.6 </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98.2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3"/>
                <w:szCs w:val="13"/>
                <w:u w:val="none"/>
              </w:rPr>
            </w:pPr>
            <w:r>
              <w:rPr>
                <w:rFonts w:hint="eastAsia" w:ascii="Times New Roman" w:hAnsi="Times New Roman" w:eastAsia="宋体" w:cs="宋体"/>
                <w:i w:val="0"/>
                <w:iCs w:val="0"/>
                <w:color w:val="000000"/>
                <w:kern w:val="0"/>
                <w:sz w:val="13"/>
                <w:szCs w:val="13"/>
                <w:u w:val="none"/>
                <w:lang w:val="en-US" w:eastAsia="zh-CN" w:bidi="ar"/>
              </w:rPr>
              <w:t>甲类</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仿宋_GB2312"/>
                <w:i w:val="0"/>
                <w:iCs w:val="0"/>
                <w:color w:val="000000"/>
                <w:sz w:val="13"/>
                <w:szCs w:val="13"/>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仿宋_GB2312"/>
                <w:i w:val="0"/>
                <w:iCs w:val="0"/>
                <w:color w:val="000000"/>
                <w:sz w:val="13"/>
                <w:szCs w:val="13"/>
                <w:u w:val="none"/>
              </w:rPr>
            </w:pPr>
            <w:r>
              <w:rPr>
                <w:rFonts w:hint="default" w:ascii="Times New Roman" w:hAnsi="Times New Roman" w:eastAsia="仿宋_GB2312" w:cs="仿宋_GB2312"/>
                <w:i w:val="0"/>
                <w:iCs w:val="0"/>
                <w:color w:val="000000"/>
                <w:kern w:val="0"/>
                <w:sz w:val="13"/>
                <w:szCs w:val="13"/>
                <w:u w:val="none"/>
                <w:lang w:val="en-US" w:eastAsia="zh-CN" w:bidi="ar"/>
              </w:rPr>
              <w:t>化验费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4"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9</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011400000050000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中药临方加工费</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根据处方要求，将中药饮片制备成符合临床要求、便于服用的特定剂型。</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所定价格涵盖信息核对、处方审核、中药制备、剂量分装、粘贴标签、清点核对等步骤所需的人力资源和基本物质资源消耗。</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每百克</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1.本项目所称的“特定剂型”包括但不限于膏剂、合剂、胶囊剂、片剂、丸剂、酒剂、散剂、颗粒剂等行业主管部门准许医疗机构自行制备的中药剂型。</w:t>
            </w: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2.计价单位“每百克”以处方的中药饮片重量计，不含赋形剂重量。不足百克按百克计算。</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14.0 </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12.7</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12.1 </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11.4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3"/>
                <w:szCs w:val="13"/>
                <w:u w:val="none"/>
              </w:rPr>
            </w:pPr>
            <w:r>
              <w:rPr>
                <w:rFonts w:hint="eastAsia" w:ascii="Times New Roman" w:hAnsi="Times New Roman" w:eastAsia="宋体" w:cs="宋体"/>
                <w:i w:val="0"/>
                <w:iCs w:val="0"/>
                <w:color w:val="000000"/>
                <w:kern w:val="0"/>
                <w:sz w:val="13"/>
                <w:szCs w:val="13"/>
                <w:u w:val="none"/>
                <w:lang w:val="en-US" w:eastAsia="zh-CN" w:bidi="ar"/>
              </w:rPr>
              <w:t>自费</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仿宋_GB2312"/>
                <w:i w:val="0"/>
                <w:iCs w:val="0"/>
                <w:color w:val="000000"/>
                <w:sz w:val="13"/>
                <w:szCs w:val="13"/>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仿宋_GB2312"/>
                <w:i w:val="0"/>
                <w:iCs w:val="0"/>
                <w:color w:val="000000"/>
                <w:sz w:val="13"/>
                <w:szCs w:val="13"/>
                <w:u w:val="none"/>
              </w:rPr>
            </w:pPr>
            <w:r>
              <w:rPr>
                <w:rFonts w:hint="default" w:ascii="Times New Roman" w:hAnsi="Times New Roman" w:eastAsia="仿宋_GB2312" w:cs="仿宋_GB2312"/>
                <w:i w:val="0"/>
                <w:iCs w:val="0"/>
                <w:color w:val="000000"/>
                <w:kern w:val="0"/>
                <w:sz w:val="13"/>
                <w:szCs w:val="13"/>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9"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10</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011400000060000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中药代煎服务费</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通过浸泡、煎煮等各种方式，将中药饮片加工成可直接服用的药液独立包装。</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所定价格涵盖信息核对、处方审核、煎煮、合并、分装、粘贴标签、清点核对等步骤所需的人力资源和基本物质资源消耗。</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付</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5.0 </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4.5</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4.3 </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4.1</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3"/>
                <w:szCs w:val="13"/>
                <w:u w:val="none"/>
              </w:rPr>
            </w:pPr>
            <w:r>
              <w:rPr>
                <w:rFonts w:hint="eastAsia" w:ascii="Times New Roman" w:hAnsi="Times New Roman" w:eastAsia="宋体" w:cs="宋体"/>
                <w:i w:val="0"/>
                <w:iCs w:val="0"/>
                <w:color w:val="000000"/>
                <w:kern w:val="0"/>
                <w:sz w:val="13"/>
                <w:szCs w:val="13"/>
                <w:u w:val="none"/>
                <w:lang w:val="en-US" w:eastAsia="zh-CN" w:bidi="ar"/>
              </w:rPr>
              <w:t>甲类</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仿宋_GB2312"/>
                <w:i w:val="0"/>
                <w:iCs w:val="0"/>
                <w:color w:val="000000"/>
                <w:sz w:val="13"/>
                <w:szCs w:val="13"/>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仿宋_GB2312"/>
                <w:i w:val="0"/>
                <w:iCs w:val="0"/>
                <w:color w:val="000000"/>
                <w:sz w:val="13"/>
                <w:szCs w:val="13"/>
                <w:u w:val="none"/>
              </w:rPr>
            </w:pPr>
            <w:r>
              <w:rPr>
                <w:rFonts w:hint="default" w:ascii="Times New Roman" w:hAnsi="Times New Roman" w:eastAsia="仿宋_GB2312" w:cs="仿宋_GB2312"/>
                <w:i w:val="0"/>
                <w:iCs w:val="0"/>
                <w:color w:val="000000"/>
                <w:kern w:val="0"/>
                <w:sz w:val="13"/>
                <w:szCs w:val="13"/>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0"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11</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011400000070000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中药配方颗粒调剂费</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根据处方要求，将多味中药配方颗粒进行调剂，制成供直接冲泡服用的包装。</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所定价格涵盖信息核对、处方审核、逐味调剂、包装、粘贴标签、清点核对等步骤所需的人力资源和基本物质资源消耗。</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付</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中药配方颗粒实行零加成政策后，可收取此项费用。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4.0 </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4.0 </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4.0 </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4.0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3"/>
                <w:szCs w:val="13"/>
                <w:u w:val="none"/>
              </w:rPr>
            </w:pPr>
            <w:r>
              <w:rPr>
                <w:rFonts w:hint="eastAsia" w:ascii="Times New Roman" w:hAnsi="Times New Roman" w:eastAsia="宋体" w:cs="宋体"/>
                <w:i w:val="0"/>
                <w:iCs w:val="0"/>
                <w:color w:val="000000"/>
                <w:kern w:val="0"/>
                <w:sz w:val="13"/>
                <w:szCs w:val="13"/>
                <w:u w:val="none"/>
                <w:lang w:val="en-US" w:eastAsia="zh-CN" w:bidi="ar"/>
              </w:rPr>
              <w:t>自费</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仿宋_GB2312"/>
                <w:i w:val="0"/>
                <w:iCs w:val="0"/>
                <w:color w:val="000000"/>
                <w:sz w:val="13"/>
                <w:szCs w:val="13"/>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仿宋_GB2312"/>
                <w:i w:val="0"/>
                <w:iCs w:val="0"/>
                <w:color w:val="000000"/>
                <w:sz w:val="13"/>
                <w:szCs w:val="13"/>
                <w:u w:val="none"/>
              </w:rPr>
            </w:pPr>
            <w:r>
              <w:rPr>
                <w:rFonts w:hint="default" w:ascii="Times New Roman" w:hAnsi="Times New Roman" w:eastAsia="仿宋_GB2312" w:cs="仿宋_GB2312"/>
                <w:i w:val="0"/>
                <w:iCs w:val="0"/>
                <w:color w:val="000000"/>
                <w:kern w:val="0"/>
                <w:sz w:val="13"/>
                <w:szCs w:val="13"/>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12</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011400000080000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放射性药物配置费</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按操作规范要求对放射性药物（核素药物）进行分装。</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所定价格涵盖处方审核、药物配置、成品封装等步骤以及必要防护所需的人力资源和基本物质资源消耗。</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组</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100.0</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90.9 </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86.4 </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81.8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3"/>
                <w:szCs w:val="13"/>
                <w:u w:val="none"/>
              </w:rPr>
            </w:pPr>
            <w:r>
              <w:rPr>
                <w:rFonts w:hint="eastAsia" w:ascii="Times New Roman" w:hAnsi="Times New Roman" w:eastAsia="宋体" w:cs="宋体"/>
                <w:i w:val="0"/>
                <w:iCs w:val="0"/>
                <w:color w:val="000000"/>
                <w:kern w:val="0"/>
                <w:sz w:val="13"/>
                <w:szCs w:val="13"/>
                <w:u w:val="none"/>
                <w:lang w:val="en-US" w:eastAsia="zh-CN" w:bidi="ar"/>
              </w:rPr>
              <w:t>自费</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仿宋_GB2312"/>
                <w:i w:val="0"/>
                <w:iCs w:val="0"/>
                <w:color w:val="000000"/>
                <w:sz w:val="13"/>
                <w:szCs w:val="13"/>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仿宋_GB2312"/>
                <w:i w:val="0"/>
                <w:iCs w:val="0"/>
                <w:color w:val="000000"/>
                <w:sz w:val="13"/>
                <w:szCs w:val="13"/>
                <w:u w:val="none"/>
              </w:rPr>
            </w:pPr>
            <w:r>
              <w:rPr>
                <w:rFonts w:hint="default" w:ascii="Times New Roman" w:hAnsi="Times New Roman" w:eastAsia="仿宋_GB2312" w:cs="仿宋_GB2312"/>
                <w:i w:val="0"/>
                <w:iCs w:val="0"/>
                <w:color w:val="000000"/>
                <w:kern w:val="0"/>
                <w:sz w:val="13"/>
                <w:szCs w:val="13"/>
                <w:u w:val="none"/>
                <w:lang w:val="en-US" w:eastAsia="zh-CN" w:bidi="ar"/>
              </w:rPr>
              <w:t>治疗费</w:t>
            </w:r>
          </w:p>
        </w:tc>
      </w:tr>
    </w:tbl>
    <w:p>
      <w:pPr>
        <w:spacing w:line="0" w:lineRule="atLeast"/>
        <w:rPr>
          <w:rFonts w:ascii="Times New Roman" w:hAnsi="Times New Roman"/>
        </w:rPr>
        <w:sectPr>
          <w:headerReference r:id="rId3" w:type="default"/>
          <w:footerReference r:id="rId4" w:type="default"/>
          <w:pgSz w:w="16838" w:h="11905" w:orient="landscape"/>
          <w:pgMar w:top="1962" w:right="1474" w:bottom="1848" w:left="1587" w:header="851" w:footer="992" w:gutter="0"/>
          <w:pgNumType w:fmt="numberInDash"/>
          <w:cols w:space="720" w:num="1"/>
          <w:docGrid w:type="lines" w:linePitch="333" w:charSpace="0"/>
        </w:sectPr>
      </w:pPr>
    </w:p>
    <w:p>
      <w:pPr>
        <w:rPr>
          <w:rFonts w:hint="eastAsia" w:ascii="Times New Roman" w:hAnsi="Times New Roman" w:eastAsia="方正黑体_GBK" w:cs="方正黑体_GBK"/>
          <w:sz w:val="32"/>
          <w:szCs w:val="32"/>
          <w:lang w:val="en-US" w:eastAsia="zh-CN"/>
        </w:rPr>
      </w:pPr>
      <w:r>
        <w:rPr>
          <w:rFonts w:hint="eastAsia" w:ascii="Times New Roman" w:hAnsi="Times New Roman" w:eastAsia="方正黑体_GBK" w:cs="方正黑体_GBK"/>
          <w:sz w:val="32"/>
          <w:szCs w:val="32"/>
          <w:lang w:val="en-US" w:eastAsia="zh-CN"/>
        </w:rPr>
        <w:t>附件2</w:t>
      </w:r>
    </w:p>
    <w:p>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rPr>
          <w:rFonts w:hint="eastAsia" w:ascii="方正小标宋_GBK" w:hAnsi="方正小标宋_GBK" w:eastAsia="方正小标宋_GBK" w:cs="方正小标宋_GBK"/>
          <w:snapToGrid w:val="0"/>
          <w:kern w:val="0"/>
          <w:sz w:val="44"/>
          <w:szCs w:val="44"/>
          <w:shd w:val="clear" w:color="auto" w:fill="FFFFFF"/>
          <w:lang w:bidi="ar"/>
        </w:rPr>
      </w:pPr>
      <w:r>
        <w:rPr>
          <w:rFonts w:hint="eastAsia" w:ascii="方正小标宋_GBK" w:hAnsi="方正小标宋_GBK" w:eastAsia="方正小标宋_GBK" w:cs="方正小标宋_GBK"/>
          <w:snapToGrid w:val="0"/>
          <w:kern w:val="0"/>
          <w:sz w:val="44"/>
          <w:szCs w:val="44"/>
          <w:shd w:val="clear" w:color="auto" w:fill="FFFFFF"/>
          <w:lang w:bidi="ar"/>
        </w:rPr>
        <w:t>停用</w:t>
      </w:r>
      <w:r>
        <w:rPr>
          <w:rFonts w:hint="eastAsia" w:ascii="方正小标宋_GBK" w:hAnsi="方正小标宋_GBK" w:eastAsia="方正小标宋_GBK" w:cs="方正小标宋_GBK"/>
          <w:snapToGrid w:val="0"/>
          <w:kern w:val="0"/>
          <w:sz w:val="44"/>
          <w:szCs w:val="44"/>
          <w:shd w:val="clear" w:color="auto" w:fill="FFFFFF"/>
          <w:lang w:eastAsia="zh-CN" w:bidi="ar"/>
        </w:rPr>
        <w:t>血清药物浓度测定</w:t>
      </w:r>
      <w:r>
        <w:rPr>
          <w:rFonts w:hint="eastAsia" w:ascii="方正小标宋_GBK" w:hAnsi="方正小标宋_GBK" w:eastAsia="方正小标宋_GBK" w:cs="方正小标宋_GBK"/>
          <w:snapToGrid w:val="0"/>
          <w:kern w:val="0"/>
          <w:sz w:val="44"/>
          <w:szCs w:val="44"/>
          <w:shd w:val="clear" w:color="auto" w:fill="FFFFFF"/>
          <w:lang w:bidi="ar"/>
        </w:rPr>
        <w:t>等医疗服务价格项目表</w:t>
      </w:r>
    </w:p>
    <w:tbl>
      <w:tblPr>
        <w:tblStyle w:val="8"/>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0"/>
        <w:gridCol w:w="1506"/>
        <w:gridCol w:w="3619"/>
        <w:gridCol w:w="32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3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方正黑体_GBK" w:cs="方正黑体_GBK"/>
                <w:b w:val="0"/>
                <w:bCs w:val="0"/>
                <w:i w:val="0"/>
                <w:iCs w:val="0"/>
                <w:color w:val="000000"/>
                <w:sz w:val="21"/>
                <w:szCs w:val="21"/>
                <w:u w:val="none"/>
              </w:rPr>
            </w:pPr>
            <w:r>
              <w:rPr>
                <w:rFonts w:hint="eastAsia" w:ascii="Times New Roman" w:hAnsi="Times New Roman" w:eastAsia="方正黑体_GBK" w:cs="方正黑体_GBK"/>
                <w:b w:val="0"/>
                <w:bCs w:val="0"/>
                <w:i w:val="0"/>
                <w:iCs w:val="0"/>
                <w:color w:val="000000"/>
                <w:kern w:val="0"/>
                <w:sz w:val="21"/>
                <w:szCs w:val="21"/>
                <w:u w:val="none"/>
                <w:lang w:val="en-US" w:eastAsia="zh-CN" w:bidi="ar"/>
              </w:rPr>
              <w:t>序号</w:t>
            </w:r>
          </w:p>
        </w:tc>
        <w:tc>
          <w:tcPr>
            <w:tcW w:w="85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方正黑体_GBK" w:cs="方正黑体_GBK"/>
                <w:b w:val="0"/>
                <w:bCs w:val="0"/>
                <w:i w:val="0"/>
                <w:iCs w:val="0"/>
                <w:color w:val="000000"/>
                <w:sz w:val="21"/>
                <w:szCs w:val="21"/>
                <w:u w:val="none"/>
              </w:rPr>
            </w:pPr>
            <w:r>
              <w:rPr>
                <w:rFonts w:hint="eastAsia" w:ascii="Times New Roman" w:hAnsi="Times New Roman" w:eastAsia="方正黑体_GBK" w:cs="方正黑体_GBK"/>
                <w:b w:val="0"/>
                <w:bCs w:val="0"/>
                <w:i w:val="0"/>
                <w:iCs w:val="0"/>
                <w:color w:val="000000"/>
                <w:kern w:val="0"/>
                <w:sz w:val="21"/>
                <w:szCs w:val="21"/>
                <w:u w:val="none"/>
                <w:lang w:val="en-US" w:eastAsia="zh-CN" w:bidi="ar"/>
              </w:rPr>
              <w:t>项目编码</w:t>
            </w:r>
          </w:p>
        </w:tc>
        <w:tc>
          <w:tcPr>
            <w:tcW w:w="20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方正黑体_GBK" w:cs="方正黑体_GBK"/>
                <w:b w:val="0"/>
                <w:bCs w:val="0"/>
                <w:i w:val="0"/>
                <w:iCs w:val="0"/>
                <w:color w:val="000000"/>
                <w:sz w:val="21"/>
                <w:szCs w:val="21"/>
                <w:u w:val="none"/>
              </w:rPr>
            </w:pPr>
            <w:r>
              <w:rPr>
                <w:rFonts w:hint="eastAsia" w:ascii="Times New Roman" w:hAnsi="Times New Roman" w:eastAsia="方正黑体_GBK" w:cs="方正黑体_GBK"/>
                <w:b w:val="0"/>
                <w:bCs w:val="0"/>
                <w:i w:val="0"/>
                <w:iCs w:val="0"/>
                <w:color w:val="000000"/>
                <w:kern w:val="0"/>
                <w:sz w:val="21"/>
                <w:szCs w:val="21"/>
                <w:u w:val="none"/>
                <w:lang w:val="en-US" w:eastAsia="zh-CN" w:bidi="ar"/>
              </w:rPr>
              <w:t>项目名称</w:t>
            </w:r>
          </w:p>
        </w:tc>
        <w:tc>
          <w:tcPr>
            <w:tcW w:w="16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方正黑体_GBK" w:cs="方正黑体_GBK"/>
                <w:b w:val="0"/>
                <w:bCs w:val="0"/>
                <w:i w:val="0"/>
                <w:iCs w:val="0"/>
                <w:color w:val="000000"/>
                <w:sz w:val="21"/>
                <w:szCs w:val="21"/>
                <w:u w:val="none"/>
              </w:rPr>
            </w:pPr>
            <w:r>
              <w:rPr>
                <w:rFonts w:hint="eastAsia" w:ascii="Times New Roman" w:hAnsi="Times New Roman" w:eastAsia="方正黑体_GBK" w:cs="方正黑体_GBK"/>
                <w:b w:val="0"/>
                <w:bCs w:val="0"/>
                <w:i w:val="0"/>
                <w:iCs w:val="0"/>
                <w:color w:val="000000"/>
                <w:kern w:val="0"/>
                <w:sz w:val="21"/>
                <w:szCs w:val="21"/>
                <w:u w:val="none"/>
                <w:lang w:val="en-US" w:eastAsia="zh-CN" w:bidi="ar"/>
              </w:rPr>
              <w:t>国家项目编码（结算）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3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60" w:lineRule="exact"/>
              <w:jc w:val="center"/>
              <w:rPr>
                <w:rFonts w:hint="eastAsia" w:ascii="Times New Roman" w:hAnsi="Times New Roman" w:eastAsia="宋体" w:cs="宋体"/>
                <w:b/>
                <w:bCs/>
                <w:i w:val="0"/>
                <w:iCs w:val="0"/>
                <w:color w:val="000000"/>
                <w:sz w:val="21"/>
                <w:szCs w:val="21"/>
                <w:u w:val="none"/>
              </w:rPr>
            </w:pPr>
          </w:p>
        </w:tc>
        <w:tc>
          <w:tcPr>
            <w:tcW w:w="8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60" w:lineRule="exact"/>
              <w:jc w:val="center"/>
              <w:rPr>
                <w:rFonts w:hint="eastAsia" w:ascii="Times New Roman" w:hAnsi="Times New Roman" w:eastAsia="宋体" w:cs="宋体"/>
                <w:b/>
                <w:bCs/>
                <w:i w:val="0"/>
                <w:iCs w:val="0"/>
                <w:color w:val="000000"/>
                <w:sz w:val="21"/>
                <w:szCs w:val="21"/>
                <w:u w:val="none"/>
              </w:rPr>
            </w:pPr>
          </w:p>
        </w:tc>
        <w:tc>
          <w:tcPr>
            <w:tcW w:w="20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60" w:lineRule="exact"/>
              <w:jc w:val="center"/>
              <w:rPr>
                <w:rFonts w:hint="eastAsia" w:ascii="Times New Roman" w:hAnsi="Times New Roman" w:eastAsia="宋体" w:cs="宋体"/>
                <w:b/>
                <w:bCs/>
                <w:i w:val="0"/>
                <w:iCs w:val="0"/>
                <w:color w:val="000000"/>
                <w:sz w:val="21"/>
                <w:szCs w:val="21"/>
                <w:u w:val="none"/>
              </w:rPr>
            </w:pPr>
          </w:p>
        </w:tc>
        <w:tc>
          <w:tcPr>
            <w:tcW w:w="16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60" w:lineRule="exact"/>
              <w:jc w:val="center"/>
              <w:rPr>
                <w:rFonts w:hint="eastAsia" w:ascii="Times New Roman" w:hAnsi="Times New Roman"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1</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111200001c</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普通药师药学门诊诊察费（三级医疗机构）</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501102000080000—111200001c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2</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111200002c</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副主任药师药学门诊诊察费（三级医疗机构）</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501102000080000—111200002c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3</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111200003c</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主任药师药学门诊诊察费（三级医疗机构）</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501102000080000—111200003c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4</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AAAD0001.01</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住院诊察费（临床药学收取）</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001102000050000—AAAD0001.01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5</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ABCJ0001</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抗肿瘤化疗药物/肠外营养液集中配置</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001204000130000-ABCJ0001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6</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ABCJ0001.01</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抗肿瘤化疗药物/肠外营养液集中配置</w:t>
            </w:r>
            <w:r>
              <w:rPr>
                <w:rFonts w:hint="eastAsia" w:ascii="Times New Roman" w:hAnsi="Times New Roman" w:eastAsia="方正仿宋_GB2312" w:cs="方正仿宋_GB2312"/>
                <w:i w:val="0"/>
                <w:iCs w:val="0"/>
                <w:color w:val="000000"/>
                <w:kern w:val="0"/>
                <w:sz w:val="21"/>
                <w:szCs w:val="21"/>
                <w:u w:val="none"/>
                <w:lang w:val="en-US" w:eastAsia="zh-CN" w:bidi="ar"/>
              </w:rPr>
              <w:t>（</w:t>
            </w:r>
            <w:r>
              <w:rPr>
                <w:rFonts w:hint="default" w:ascii="Times New Roman" w:hAnsi="Times New Roman" w:eastAsia="方正仿宋_GB2312" w:cs="方正仿宋_GB2312"/>
                <w:i w:val="0"/>
                <w:iCs w:val="0"/>
                <w:color w:val="000000"/>
                <w:kern w:val="0"/>
                <w:sz w:val="21"/>
                <w:szCs w:val="21"/>
                <w:u w:val="none"/>
                <w:lang w:val="en-US" w:eastAsia="zh-CN" w:bidi="ar"/>
              </w:rPr>
              <w:t>儿童加收</w:t>
            </w:r>
            <w:r>
              <w:rPr>
                <w:rFonts w:hint="eastAsia" w:ascii="Times New Roman" w:hAnsi="Times New Roman" w:eastAsia="方正仿宋_GB2312" w:cs="方正仿宋_GB2312"/>
                <w:i w:val="0"/>
                <w:iCs w:val="0"/>
                <w:color w:val="000000"/>
                <w:kern w:val="0"/>
                <w:sz w:val="21"/>
                <w:szCs w:val="21"/>
                <w:u w:val="none"/>
                <w:lang w:val="en-US" w:eastAsia="zh-CN" w:bidi="ar"/>
              </w:rPr>
              <w:t>）</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001204000130000-ABCJ0001.01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7</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333333"/>
                <w:sz w:val="21"/>
                <w:szCs w:val="21"/>
                <w:u w:val="none"/>
              </w:rPr>
            </w:pPr>
            <w:r>
              <w:rPr>
                <w:rFonts w:hint="eastAsia" w:ascii="Times New Roman" w:hAnsi="Times New Roman" w:eastAsia="宋体" w:cs="宋体"/>
                <w:i w:val="0"/>
                <w:iCs w:val="0"/>
                <w:color w:val="333333"/>
                <w:kern w:val="0"/>
                <w:sz w:val="21"/>
                <w:szCs w:val="21"/>
                <w:u w:val="none"/>
                <w:lang w:val="en-US" w:eastAsia="zh-CN" w:bidi="ar"/>
              </w:rPr>
              <w:t>250309005</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333333"/>
                <w:sz w:val="21"/>
                <w:szCs w:val="21"/>
                <w:u w:val="none"/>
              </w:rPr>
            </w:pPr>
            <w:r>
              <w:rPr>
                <w:rFonts w:hint="eastAsia" w:ascii="Times New Roman" w:hAnsi="Times New Roman" w:eastAsia="宋体" w:cs="宋体"/>
                <w:i w:val="0"/>
                <w:iCs w:val="0"/>
                <w:color w:val="333333"/>
                <w:kern w:val="0"/>
                <w:sz w:val="21"/>
                <w:szCs w:val="21"/>
                <w:u w:val="none"/>
                <w:lang w:val="en-US" w:eastAsia="zh-CN" w:bidi="ar"/>
              </w:rPr>
              <w:t>血清药物浓度测定</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002503090050000-250309005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8</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250309005.01</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血清药物浓度测定</w:t>
            </w:r>
            <w:r>
              <w:rPr>
                <w:rFonts w:hint="eastAsia" w:ascii="Times New Roman" w:hAnsi="Times New Roman" w:eastAsia="方正仿宋_GB2312" w:cs="方正仿宋_GB2312"/>
                <w:i w:val="0"/>
                <w:iCs w:val="0"/>
                <w:color w:val="000000"/>
                <w:kern w:val="0"/>
                <w:sz w:val="21"/>
                <w:szCs w:val="21"/>
                <w:u w:val="none"/>
                <w:lang w:val="en-US" w:eastAsia="zh-CN" w:bidi="ar"/>
              </w:rPr>
              <w:t>（</w:t>
            </w:r>
            <w:r>
              <w:rPr>
                <w:rFonts w:hint="default" w:ascii="Times New Roman" w:hAnsi="Times New Roman" w:eastAsia="方正仿宋_GB2312" w:cs="方正仿宋_GB2312"/>
                <w:i w:val="0"/>
                <w:iCs w:val="0"/>
                <w:color w:val="000000"/>
                <w:kern w:val="0"/>
                <w:sz w:val="21"/>
                <w:szCs w:val="21"/>
                <w:u w:val="none"/>
                <w:lang w:val="en-US" w:eastAsia="zh-CN" w:bidi="ar"/>
              </w:rPr>
              <w:t>普乐可复</w:t>
            </w:r>
            <w:r>
              <w:rPr>
                <w:rFonts w:hint="eastAsia" w:ascii="Times New Roman" w:hAnsi="Times New Roman" w:eastAsia="方正仿宋_GB2312" w:cs="方正仿宋_GB2312"/>
                <w:i w:val="0"/>
                <w:iCs w:val="0"/>
                <w:color w:val="000000"/>
                <w:kern w:val="0"/>
                <w:sz w:val="21"/>
                <w:szCs w:val="21"/>
                <w:u w:val="none"/>
                <w:lang w:val="en-US" w:eastAsia="zh-CN" w:bidi="ar"/>
              </w:rPr>
              <w:t>（</w:t>
            </w:r>
            <w:r>
              <w:rPr>
                <w:rFonts w:hint="default" w:ascii="Times New Roman" w:hAnsi="Times New Roman" w:eastAsia="方正仿宋_GB2312" w:cs="方正仿宋_GB2312"/>
                <w:i w:val="0"/>
                <w:iCs w:val="0"/>
                <w:color w:val="000000"/>
                <w:kern w:val="0"/>
                <w:sz w:val="21"/>
                <w:szCs w:val="21"/>
                <w:u w:val="none"/>
                <w:lang w:val="en-US" w:eastAsia="zh-CN" w:bidi="ar"/>
              </w:rPr>
              <w:t>FK-506</w:t>
            </w:r>
            <w:r>
              <w:rPr>
                <w:rFonts w:hint="eastAsia" w:ascii="Times New Roman" w:hAnsi="Times New Roman" w:eastAsia="方正仿宋_GB2312" w:cs="方正仿宋_GB2312"/>
                <w:i w:val="0"/>
                <w:iCs w:val="0"/>
                <w:color w:val="000000"/>
                <w:kern w:val="0"/>
                <w:sz w:val="21"/>
                <w:szCs w:val="21"/>
                <w:u w:val="none"/>
                <w:lang w:val="en-US" w:eastAsia="zh-CN" w:bidi="ar"/>
              </w:rPr>
              <w:t>）</w:t>
            </w:r>
            <w:r>
              <w:rPr>
                <w:rFonts w:hint="default" w:ascii="Times New Roman" w:hAnsi="Times New Roman" w:eastAsia="方正仿宋_GB2312" w:cs="方正仿宋_GB2312"/>
                <w:i w:val="0"/>
                <w:iCs w:val="0"/>
                <w:color w:val="000000"/>
                <w:kern w:val="0"/>
                <w:sz w:val="21"/>
                <w:szCs w:val="21"/>
                <w:u w:val="none"/>
                <w:lang w:val="en-US" w:eastAsia="zh-CN" w:bidi="ar"/>
              </w:rPr>
              <w:t>加收</w:t>
            </w:r>
            <w:r>
              <w:rPr>
                <w:rFonts w:hint="eastAsia" w:ascii="Times New Roman" w:hAnsi="Times New Roman" w:eastAsia="方正仿宋_GB2312" w:cs="方正仿宋_GB2312"/>
                <w:i w:val="0"/>
                <w:iCs w:val="0"/>
                <w:color w:val="000000"/>
                <w:kern w:val="0"/>
                <w:sz w:val="21"/>
                <w:szCs w:val="21"/>
                <w:u w:val="none"/>
                <w:lang w:val="en-US" w:eastAsia="zh-CN" w:bidi="ar"/>
              </w:rPr>
              <w:t>）</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002503090050000-250309005.01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9</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250309005.02</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血清药物浓度测定</w:t>
            </w:r>
            <w:r>
              <w:rPr>
                <w:rFonts w:hint="eastAsia" w:ascii="Times New Roman" w:hAnsi="Times New Roman" w:eastAsia="方正仿宋_GB2312" w:cs="方正仿宋_GB2312"/>
                <w:i w:val="0"/>
                <w:iCs w:val="0"/>
                <w:color w:val="000000"/>
                <w:kern w:val="0"/>
                <w:sz w:val="21"/>
                <w:szCs w:val="21"/>
                <w:u w:val="none"/>
                <w:lang w:val="en-US" w:eastAsia="zh-CN" w:bidi="ar"/>
              </w:rPr>
              <w:t>（</w:t>
            </w:r>
            <w:r>
              <w:rPr>
                <w:rFonts w:hint="default" w:ascii="Times New Roman" w:hAnsi="Times New Roman" w:eastAsia="方正仿宋_GB2312" w:cs="方正仿宋_GB2312"/>
                <w:i w:val="0"/>
                <w:iCs w:val="0"/>
                <w:color w:val="000000"/>
                <w:kern w:val="0"/>
                <w:sz w:val="21"/>
                <w:szCs w:val="21"/>
                <w:u w:val="none"/>
                <w:lang w:val="en-US" w:eastAsia="zh-CN" w:bidi="ar"/>
              </w:rPr>
              <w:t>酶酚酸加收</w:t>
            </w:r>
            <w:r>
              <w:rPr>
                <w:rFonts w:hint="eastAsia" w:ascii="Times New Roman" w:hAnsi="Times New Roman" w:eastAsia="方正仿宋_GB2312" w:cs="方正仿宋_GB2312"/>
                <w:i w:val="0"/>
                <w:iCs w:val="0"/>
                <w:color w:val="000000"/>
                <w:kern w:val="0"/>
                <w:sz w:val="21"/>
                <w:szCs w:val="21"/>
                <w:u w:val="none"/>
                <w:lang w:val="en-US" w:eastAsia="zh-CN" w:bidi="ar"/>
              </w:rPr>
              <w:t>）</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002503090050000-250309005.02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10</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250309005.03</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血清药物浓度测定</w:t>
            </w:r>
            <w:r>
              <w:rPr>
                <w:rFonts w:hint="eastAsia" w:ascii="Times New Roman" w:hAnsi="Times New Roman" w:eastAsia="方正仿宋_GB2312" w:cs="方正仿宋_GB2312"/>
                <w:i w:val="0"/>
                <w:iCs w:val="0"/>
                <w:color w:val="000000"/>
                <w:kern w:val="0"/>
                <w:sz w:val="21"/>
                <w:szCs w:val="21"/>
                <w:u w:val="none"/>
                <w:lang w:val="en-US" w:eastAsia="zh-CN" w:bidi="ar"/>
              </w:rPr>
              <w:t>（</w:t>
            </w:r>
            <w:r>
              <w:rPr>
                <w:rFonts w:hint="default" w:ascii="Times New Roman" w:hAnsi="Times New Roman" w:eastAsia="方正仿宋_GB2312" w:cs="方正仿宋_GB2312"/>
                <w:i w:val="0"/>
                <w:iCs w:val="0"/>
                <w:color w:val="000000"/>
                <w:kern w:val="0"/>
                <w:sz w:val="21"/>
                <w:szCs w:val="21"/>
                <w:u w:val="none"/>
                <w:lang w:val="en-US" w:eastAsia="zh-CN" w:bidi="ar"/>
              </w:rPr>
              <w:t>色谱法加收</w:t>
            </w:r>
            <w:r>
              <w:rPr>
                <w:rFonts w:hint="eastAsia" w:ascii="Times New Roman" w:hAnsi="Times New Roman" w:eastAsia="方正仿宋_GB2312" w:cs="方正仿宋_GB2312"/>
                <w:i w:val="0"/>
                <w:iCs w:val="0"/>
                <w:color w:val="000000"/>
                <w:kern w:val="0"/>
                <w:sz w:val="21"/>
                <w:szCs w:val="21"/>
                <w:u w:val="none"/>
                <w:lang w:val="en-US" w:eastAsia="zh-CN" w:bidi="ar"/>
              </w:rPr>
              <w:t>）</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002503090050200-250309005.03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11</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250309005.04</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血清药物浓度测定</w:t>
            </w:r>
            <w:r>
              <w:rPr>
                <w:rFonts w:hint="eastAsia" w:ascii="Times New Roman" w:hAnsi="Times New Roman" w:eastAsia="方正仿宋_GB2312" w:cs="方正仿宋_GB2312"/>
                <w:i w:val="0"/>
                <w:iCs w:val="0"/>
                <w:color w:val="000000"/>
                <w:kern w:val="0"/>
                <w:sz w:val="21"/>
                <w:szCs w:val="21"/>
                <w:u w:val="none"/>
                <w:lang w:val="en-US" w:eastAsia="zh-CN" w:bidi="ar"/>
              </w:rPr>
              <w:t>（</w:t>
            </w:r>
            <w:r>
              <w:rPr>
                <w:rFonts w:hint="default" w:ascii="Times New Roman" w:hAnsi="Times New Roman" w:eastAsia="方正仿宋_GB2312" w:cs="方正仿宋_GB2312"/>
                <w:i w:val="0"/>
                <w:iCs w:val="0"/>
                <w:color w:val="000000"/>
                <w:kern w:val="0"/>
                <w:sz w:val="21"/>
                <w:szCs w:val="21"/>
                <w:u w:val="none"/>
                <w:lang w:val="en-US" w:eastAsia="zh-CN" w:bidi="ar"/>
              </w:rPr>
              <w:t>荧光探针法加收</w:t>
            </w:r>
            <w:r>
              <w:rPr>
                <w:rFonts w:hint="eastAsia" w:ascii="Times New Roman" w:hAnsi="Times New Roman" w:eastAsia="方正仿宋_GB2312" w:cs="方正仿宋_GB2312"/>
                <w:i w:val="0"/>
                <w:iCs w:val="0"/>
                <w:color w:val="000000"/>
                <w:kern w:val="0"/>
                <w:sz w:val="21"/>
                <w:szCs w:val="21"/>
                <w:u w:val="none"/>
                <w:lang w:val="en-US" w:eastAsia="zh-CN" w:bidi="ar"/>
              </w:rPr>
              <w:t>）</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002503090050000-250309005.04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12</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250309005.05</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血清药物浓度测定</w:t>
            </w:r>
            <w:r>
              <w:rPr>
                <w:rFonts w:hint="eastAsia" w:ascii="Times New Roman" w:hAnsi="Times New Roman" w:eastAsia="方正仿宋_GB2312" w:cs="方正仿宋_GB2312"/>
                <w:i w:val="0"/>
                <w:iCs w:val="0"/>
                <w:color w:val="000000"/>
                <w:kern w:val="0"/>
                <w:sz w:val="21"/>
                <w:szCs w:val="21"/>
                <w:u w:val="none"/>
                <w:lang w:val="en-US" w:eastAsia="zh-CN" w:bidi="ar"/>
              </w:rPr>
              <w:t>（</w:t>
            </w:r>
            <w:r>
              <w:rPr>
                <w:rFonts w:hint="default" w:ascii="Times New Roman" w:hAnsi="Times New Roman" w:eastAsia="方正仿宋_GB2312" w:cs="方正仿宋_GB2312"/>
                <w:i w:val="0"/>
                <w:iCs w:val="0"/>
                <w:color w:val="000000"/>
                <w:kern w:val="0"/>
                <w:sz w:val="21"/>
                <w:szCs w:val="21"/>
                <w:u w:val="none"/>
                <w:lang w:val="en-US" w:eastAsia="zh-CN" w:bidi="ar"/>
              </w:rPr>
              <w:t>化学发光法加收</w:t>
            </w:r>
            <w:r>
              <w:rPr>
                <w:rFonts w:hint="eastAsia" w:ascii="Times New Roman" w:hAnsi="Times New Roman" w:eastAsia="方正仿宋_GB2312" w:cs="方正仿宋_GB2312"/>
                <w:i w:val="0"/>
                <w:iCs w:val="0"/>
                <w:color w:val="000000"/>
                <w:kern w:val="0"/>
                <w:sz w:val="21"/>
                <w:szCs w:val="21"/>
                <w:u w:val="none"/>
                <w:lang w:val="en-US" w:eastAsia="zh-CN" w:bidi="ar"/>
              </w:rPr>
              <w:t>）</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002503090050000-250309005.05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13</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250309005.06</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血清药物浓度测定</w:t>
            </w:r>
            <w:r>
              <w:rPr>
                <w:rFonts w:hint="eastAsia" w:ascii="Times New Roman" w:hAnsi="Times New Roman" w:eastAsia="方正仿宋_GB2312" w:cs="方正仿宋_GB2312"/>
                <w:i w:val="0"/>
                <w:iCs w:val="0"/>
                <w:color w:val="000000"/>
                <w:kern w:val="0"/>
                <w:sz w:val="21"/>
                <w:szCs w:val="21"/>
                <w:u w:val="none"/>
                <w:lang w:val="en-US" w:eastAsia="zh-CN" w:bidi="ar"/>
              </w:rPr>
              <w:t>（</w:t>
            </w:r>
            <w:r>
              <w:rPr>
                <w:rFonts w:hint="default" w:ascii="Times New Roman" w:hAnsi="Times New Roman" w:eastAsia="方正仿宋_GB2312" w:cs="方正仿宋_GB2312"/>
                <w:i w:val="0"/>
                <w:iCs w:val="0"/>
                <w:color w:val="000000"/>
                <w:kern w:val="0"/>
                <w:sz w:val="21"/>
                <w:szCs w:val="21"/>
                <w:u w:val="none"/>
                <w:lang w:val="en-US" w:eastAsia="zh-CN" w:bidi="ar"/>
              </w:rPr>
              <w:t>环孢霉素A测定加收</w:t>
            </w:r>
            <w:r>
              <w:rPr>
                <w:rFonts w:hint="eastAsia" w:ascii="Times New Roman" w:hAnsi="Times New Roman" w:eastAsia="方正仿宋_GB2312" w:cs="方正仿宋_GB2312"/>
                <w:i w:val="0"/>
                <w:iCs w:val="0"/>
                <w:color w:val="000000"/>
                <w:kern w:val="0"/>
                <w:sz w:val="21"/>
                <w:szCs w:val="21"/>
                <w:u w:val="none"/>
                <w:lang w:val="en-US" w:eastAsia="zh-CN" w:bidi="ar"/>
              </w:rPr>
              <w:t>）</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002503090050000-250309005.06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14</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250309005.07</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血清药物浓度测定</w:t>
            </w:r>
            <w:r>
              <w:rPr>
                <w:rFonts w:hint="eastAsia" w:ascii="Times New Roman" w:hAnsi="Times New Roman" w:eastAsia="方正仿宋_GB2312" w:cs="方正仿宋_GB2312"/>
                <w:i w:val="0"/>
                <w:iCs w:val="0"/>
                <w:color w:val="000000"/>
                <w:kern w:val="0"/>
                <w:sz w:val="21"/>
                <w:szCs w:val="21"/>
                <w:u w:val="none"/>
                <w:lang w:val="en-US" w:eastAsia="zh-CN" w:bidi="ar"/>
              </w:rPr>
              <w:t>（</w:t>
            </w:r>
            <w:r>
              <w:rPr>
                <w:rFonts w:hint="default" w:ascii="Times New Roman" w:hAnsi="Times New Roman" w:eastAsia="方正仿宋_GB2312" w:cs="方正仿宋_GB2312"/>
                <w:i w:val="0"/>
                <w:iCs w:val="0"/>
                <w:color w:val="000000"/>
                <w:kern w:val="0"/>
                <w:sz w:val="21"/>
                <w:szCs w:val="21"/>
                <w:u w:val="none"/>
                <w:lang w:val="en-US" w:eastAsia="zh-CN" w:bidi="ar"/>
              </w:rPr>
              <w:t>荧光偏振免疫法加收</w:t>
            </w:r>
            <w:r>
              <w:rPr>
                <w:rFonts w:hint="eastAsia" w:ascii="Times New Roman" w:hAnsi="Times New Roman" w:eastAsia="方正仿宋_GB2312" w:cs="方正仿宋_GB2312"/>
                <w:i w:val="0"/>
                <w:iCs w:val="0"/>
                <w:color w:val="000000"/>
                <w:kern w:val="0"/>
                <w:sz w:val="21"/>
                <w:szCs w:val="21"/>
                <w:u w:val="none"/>
                <w:lang w:val="en-US" w:eastAsia="zh-CN" w:bidi="ar"/>
              </w:rPr>
              <w:t>）</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002503090050000-250309005.07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15</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250309005.08</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血清药物浓度测定</w:t>
            </w:r>
            <w:r>
              <w:rPr>
                <w:rFonts w:hint="eastAsia" w:ascii="Times New Roman" w:hAnsi="Times New Roman" w:eastAsia="方正仿宋_GB2312" w:cs="方正仿宋_GB2312"/>
                <w:i w:val="0"/>
                <w:iCs w:val="0"/>
                <w:color w:val="000000"/>
                <w:kern w:val="0"/>
                <w:sz w:val="21"/>
                <w:szCs w:val="21"/>
                <w:u w:val="none"/>
                <w:lang w:val="en-US" w:eastAsia="zh-CN" w:bidi="ar"/>
              </w:rPr>
              <w:t>（</w:t>
            </w:r>
            <w:r>
              <w:rPr>
                <w:rFonts w:hint="default" w:ascii="Times New Roman" w:hAnsi="Times New Roman" w:eastAsia="方正仿宋_GB2312" w:cs="方正仿宋_GB2312"/>
                <w:i w:val="0"/>
                <w:iCs w:val="0"/>
                <w:color w:val="000000"/>
                <w:kern w:val="0"/>
                <w:sz w:val="21"/>
                <w:szCs w:val="21"/>
                <w:u w:val="none"/>
                <w:lang w:val="en-US" w:eastAsia="zh-CN" w:bidi="ar"/>
              </w:rPr>
              <w:t>甲氨蝶呤测定加收</w:t>
            </w:r>
            <w:r>
              <w:rPr>
                <w:rFonts w:hint="eastAsia" w:ascii="Times New Roman" w:hAnsi="Times New Roman" w:eastAsia="方正仿宋_GB2312" w:cs="方正仿宋_GB2312"/>
                <w:i w:val="0"/>
                <w:iCs w:val="0"/>
                <w:color w:val="000000"/>
                <w:kern w:val="0"/>
                <w:sz w:val="21"/>
                <w:szCs w:val="21"/>
                <w:u w:val="none"/>
                <w:lang w:val="en-US" w:eastAsia="zh-CN" w:bidi="ar"/>
              </w:rPr>
              <w:t>）</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002503090050000-250309005.08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16</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480000004</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人工煎药</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004800000040000-480000004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17</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480000005</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煎药机煎药</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004800000050000-480000005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18</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righ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480000003</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中药特殊调配</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004800000030000-480000003</w:t>
            </w:r>
          </w:p>
        </w:tc>
      </w:tr>
    </w:tbl>
    <w:p>
      <w:pPr>
        <w:rPr>
          <w:rFonts w:ascii="Times New Roman" w:hAnsi="Times New Roman" w:eastAsia="宋体" w:cs="Times New Roman"/>
          <w:vanish/>
        </w:rPr>
      </w:pPr>
    </w:p>
    <w:p>
      <w:pPr>
        <w:pStyle w:val="2"/>
        <w:rPr>
          <w:vanish/>
        </w:rPr>
        <w:sectPr>
          <w:pgSz w:w="11905" w:h="16838"/>
          <w:pgMar w:top="1962" w:right="1474" w:bottom="1848" w:left="1587" w:header="851" w:footer="992" w:gutter="0"/>
          <w:pgNumType w:fmt="numberInDash"/>
          <w:cols w:space="0" w:num="1"/>
          <w:rtlGutter w:val="0"/>
          <w:docGrid w:type="lines" w:linePitch="336" w:charSpace="0"/>
        </w:sectPr>
      </w:pPr>
    </w:p>
    <w:p>
      <w:pPr>
        <w:keepNext w:val="0"/>
        <w:keepLines w:val="0"/>
        <w:pageBreakBefore w:val="0"/>
        <w:widowControl/>
        <w:shd w:val="clear" w:color="auto"/>
        <w:kinsoku/>
        <w:wordWrap/>
        <w:overflowPunct/>
        <w:topLinePunct w:val="0"/>
        <w:autoSpaceDE/>
        <w:autoSpaceDN/>
        <w:bidi w:val="0"/>
        <w:adjustRightInd/>
        <w:snapToGrid/>
        <w:spacing w:beforeAutospacing="0" w:afterAutospacing="0" w:line="520" w:lineRule="exact"/>
        <w:ind w:firstLine="640" w:firstLineChars="200"/>
        <w:jc w:val="both"/>
        <w:textAlignment w:val="auto"/>
        <w:rPr>
          <w:rFonts w:hint="eastAsia" w:ascii="方正黑体_GBK" w:hAnsi="方正黑体_GBK" w:eastAsia="方正黑体_GBK" w:cs="方正黑体_GBK"/>
          <w:vanish/>
          <w:kern w:val="0"/>
          <w:sz w:val="32"/>
          <w:szCs w:val="32"/>
          <w:shd w:val="clear" w:color="auto" w:fill="FFFFFF"/>
          <w:lang w:val="en-US" w:eastAsia="zh-CN" w:bidi="ar-SA"/>
        </w:rPr>
      </w:pPr>
    </w:p>
    <w:p>
      <w:pPr>
        <w:keepNext w:val="0"/>
        <w:keepLines w:val="0"/>
        <w:pageBreakBefore w:val="0"/>
        <w:widowControl/>
        <w:shd w:val="clear" w:color="auto"/>
        <w:kinsoku/>
        <w:wordWrap/>
        <w:overflowPunct/>
        <w:topLinePunct w:val="0"/>
        <w:autoSpaceDE/>
        <w:autoSpaceDN/>
        <w:bidi w:val="0"/>
        <w:adjustRightInd/>
        <w:snapToGrid/>
        <w:spacing w:beforeAutospacing="0" w:afterAutospacing="0" w:line="520" w:lineRule="exact"/>
        <w:ind w:firstLine="640" w:firstLineChars="200"/>
        <w:jc w:val="both"/>
        <w:textAlignment w:val="auto"/>
        <w:rPr>
          <w:rFonts w:hint="eastAsia" w:ascii="方正黑体_GBK" w:hAnsi="方正黑体_GBK" w:eastAsia="方正黑体_GBK" w:cs="方正黑体_GBK"/>
          <w:vanish/>
          <w:kern w:val="0"/>
          <w:sz w:val="32"/>
          <w:szCs w:val="32"/>
          <w:shd w:val="clear" w:color="auto" w:fill="FFFFFF"/>
          <w:lang w:val="en-US" w:eastAsia="zh-CN" w:bidi="ar-SA"/>
        </w:rPr>
      </w:pPr>
    </w:p>
    <w:p>
      <w:pPr>
        <w:keepNext w:val="0"/>
        <w:keepLines w:val="0"/>
        <w:pageBreakBefore w:val="0"/>
        <w:widowControl/>
        <w:shd w:val="clear" w:color="auto"/>
        <w:kinsoku/>
        <w:wordWrap/>
        <w:overflowPunct/>
        <w:topLinePunct w:val="0"/>
        <w:autoSpaceDE/>
        <w:autoSpaceDN/>
        <w:bidi w:val="0"/>
        <w:adjustRightInd/>
        <w:snapToGrid/>
        <w:spacing w:beforeAutospacing="0" w:afterAutospacing="0" w:line="520" w:lineRule="exact"/>
        <w:jc w:val="both"/>
        <w:textAlignment w:val="auto"/>
        <w:rPr>
          <w:rFonts w:hint="eastAsia" w:ascii="Times New Roman" w:hAnsi="Times New Roman" w:eastAsia="方正仿宋_GBK" w:cs="方正仿宋_GBK"/>
          <w:vanish/>
          <w:kern w:val="0"/>
          <w:sz w:val="32"/>
          <w:szCs w:val="32"/>
          <w:shd w:val="clear" w:color="auto" w:fill="FFFFFF"/>
          <w:lang w:val="en-US" w:eastAsia="zh-CN" w:bidi="ar-SA"/>
        </w:rPr>
      </w:pPr>
    </w:p>
    <w:p>
      <w:pPr>
        <w:keepNext w:val="0"/>
        <w:keepLines w:val="0"/>
        <w:pageBreakBefore w:val="0"/>
        <w:widowControl/>
        <w:shd w:val="clear" w:color="auto"/>
        <w:kinsoku/>
        <w:wordWrap/>
        <w:overflowPunct/>
        <w:topLinePunct w:val="0"/>
        <w:autoSpaceDE/>
        <w:autoSpaceDN/>
        <w:bidi w:val="0"/>
        <w:adjustRightInd/>
        <w:snapToGrid/>
        <w:spacing w:beforeAutospacing="0" w:afterAutospacing="0" w:line="520" w:lineRule="exact"/>
        <w:jc w:val="both"/>
        <w:textAlignment w:val="auto"/>
        <w:rPr>
          <w:rFonts w:hint="eastAsia" w:ascii="Times New Roman" w:hAnsi="Times New Roman" w:eastAsia="方正仿宋_GBK" w:cs="方正仿宋_GBK"/>
          <w:vanish/>
          <w:kern w:val="0"/>
          <w:sz w:val="32"/>
          <w:szCs w:val="32"/>
          <w:shd w:val="clear" w:color="auto" w:fill="FFFFFF"/>
          <w:lang w:val="en-US" w:eastAsia="zh-CN" w:bidi="ar-SA"/>
        </w:rPr>
      </w:pPr>
    </w:p>
    <w:p>
      <w:pPr>
        <w:rPr>
          <w:rFonts w:hint="eastAsia" w:ascii="Times New Roman" w:hAnsi="Times New Roman" w:eastAsia="方正仿宋_GBK" w:cs="Times New Roman"/>
          <w:vanish/>
          <w:color w:val="000000"/>
          <w:sz w:val="32"/>
          <w:szCs w:val="20"/>
        </w:rPr>
      </w:pPr>
    </w:p>
    <w:p>
      <w:pPr>
        <w:pStyle w:val="2"/>
        <w:rPr>
          <w:vanish/>
        </w:rPr>
        <w:sectPr>
          <w:pgSz w:w="11905" w:h="16838"/>
          <w:pgMar w:top="1474" w:right="1984" w:bottom="1587" w:left="2098" w:header="851" w:footer="992" w:gutter="0"/>
          <w:pgNumType w:fmt="numberInDash"/>
          <w:cols w:space="0" w:num="1"/>
          <w:rtlGutter w:val="0"/>
          <w:docGrid w:type="lines" w:linePitch="336" w:charSpace="0"/>
        </w:sectPr>
      </w:pPr>
    </w:p>
    <w:p>
      <w:pPr>
        <w:keepNext w:val="0"/>
        <w:keepLines w:val="0"/>
        <w:pageBreakBefore w:val="0"/>
        <w:widowControl/>
        <w:kinsoku/>
        <w:wordWrap/>
        <w:overflowPunct/>
        <w:topLinePunct w:val="0"/>
        <w:bidi w:val="0"/>
        <w:adjustRightInd w:val="0"/>
        <w:snapToGrid w:val="0"/>
        <w:spacing w:line="560" w:lineRule="exact"/>
        <w:ind w:left="0" w:leftChars="0"/>
        <w:jc w:val="center"/>
        <w:textAlignment w:val="auto"/>
        <w:rPr>
          <w:rFonts w:ascii="Times New Roman" w:hAnsi="Times New Roman" w:eastAsia="仿宋_GB2312" w:cs="Times New Roman"/>
          <w:vanish/>
          <w:sz w:val="32"/>
          <w:szCs w:val="20"/>
        </w:rPr>
      </w:pPr>
    </w:p>
    <w:p>
      <w:pPr>
        <w:rPr>
          <w:rFonts w:hint="eastAsia"/>
          <w:vanish/>
          <w:lang w:val="en-US" w:eastAsia="zh-CN"/>
        </w:rPr>
        <w:sectPr>
          <w:pgSz w:w="11905" w:h="16838"/>
          <w:pgMar w:top="1474" w:right="1984" w:bottom="1587" w:left="2098" w:header="851" w:footer="992" w:gutter="0"/>
          <w:pgNumType w:fmt="numberInDash"/>
          <w:cols w:space="0" w:num="1"/>
          <w:rtlGutter w:val="0"/>
          <w:docGrid w:type="lines" w:linePitch="336" w:charSpace="0"/>
        </w:sectPr>
      </w:pPr>
    </w:p>
    <w:p>
      <w:pPr>
        <w:pStyle w:val="2"/>
        <w:rPr>
          <w:rFonts w:hint="eastAsia"/>
          <w:vanish/>
          <w:lang w:val="en-US" w:eastAsia="zh-CN"/>
        </w:rPr>
      </w:pPr>
    </w:p>
    <w:p>
      <w:pPr>
        <w:rPr>
          <w:rFonts w:hint="eastAsia"/>
          <w:vanish/>
          <w:lang w:val="en-US" w:eastAsia="zh-CN"/>
        </w:rPr>
        <w:sectPr>
          <w:pgSz w:w="11905" w:h="16838"/>
          <w:pgMar w:top="1474" w:right="1984" w:bottom="1587" w:left="2098" w:header="851" w:footer="992" w:gutter="0"/>
          <w:pgNumType w:fmt="numberInDash"/>
          <w:cols w:space="0" w:num="1"/>
          <w:rtlGutter w:val="0"/>
          <w:docGrid w:type="lines" w:linePitch="336" w:charSpace="0"/>
        </w:sectPr>
      </w:pPr>
    </w:p>
    <w:p>
      <w:pPr>
        <w:rPr>
          <w:rFonts w:ascii="Times New Roman" w:hAnsi="Times New Roman"/>
          <w:vanish/>
          <w:szCs w:val="24"/>
        </w:rPr>
      </w:pPr>
      <w:r>
        <w:rPr>
          <w:rFonts w:hint="eastAsia" w:ascii="Times New Roman" w:hAnsi="Times New Roman" w:eastAsia="仿宋_GB2312" w:cs="Times New Roman"/>
          <w:vanish/>
          <w:sz w:val="32"/>
          <w:szCs w:val="32"/>
        </w:rPr>
        <w:br w:type="page"/>
      </w:r>
    </w:p>
    <w:p>
      <w:pPr>
        <w:rPr>
          <w:rFonts w:ascii="Times New Roman" w:hAnsi="Times New Roman"/>
          <w:vanish/>
          <w:szCs w:val="24"/>
        </w:rPr>
      </w:pPr>
    </w:p>
    <w:p>
      <w:pPr>
        <w:rPr>
          <w:rFonts w:ascii="Times New Roman" w:hAnsi="Times New Roman"/>
          <w:vanish/>
          <w:szCs w:val="24"/>
        </w:rPr>
      </w:pPr>
    </w:p>
    <w:p>
      <w:pPr>
        <w:rPr>
          <w:rFonts w:ascii="Times New Roman" w:hAnsi="Times New Roman"/>
          <w:vanish/>
          <w:szCs w:val="24"/>
        </w:rPr>
      </w:pPr>
    </w:p>
    <w:p>
      <w:pPr>
        <w:rPr>
          <w:rFonts w:ascii="Times New Roman" w:hAnsi="Times New Roman"/>
          <w:vanish/>
          <w:szCs w:val="24"/>
        </w:rPr>
      </w:pPr>
    </w:p>
    <w:p>
      <w:pPr>
        <w:rPr>
          <w:rFonts w:ascii="Times New Roman" w:hAnsi="Times New Roman"/>
          <w:vanish/>
          <w:szCs w:val="24"/>
        </w:rPr>
      </w:pPr>
    </w:p>
    <w:p>
      <w:pPr>
        <w:keepNext/>
        <w:keepLines/>
        <w:widowControl w:val="0"/>
        <w:spacing w:before="340" w:after="330" w:line="578" w:lineRule="auto"/>
        <w:jc w:val="both"/>
        <w:outlineLvl w:val="0"/>
        <w:rPr>
          <w:rFonts w:hint="eastAsia" w:ascii="Times New Roman" w:hAnsi="Times New Roman" w:eastAsia="宋体" w:cs="Times New Roman"/>
          <w:b/>
          <w:bCs/>
          <w:vanish/>
          <w:kern w:val="44"/>
          <w:sz w:val="44"/>
          <w:szCs w:val="44"/>
          <w:lang w:val="en-US" w:eastAsia="zh-CN" w:bidi="ar-SA"/>
        </w:rPr>
      </w:pPr>
    </w:p>
    <w:p>
      <w:pPr>
        <w:rPr>
          <w:rFonts w:ascii="Times New Roman" w:hAnsi="Times New Roman" w:eastAsia="仿宋_GB2312" w:cs="Times New Roman"/>
          <w:vanish/>
          <w:sz w:val="32"/>
          <w:szCs w:val="32"/>
        </w:rPr>
      </w:pPr>
    </w:p>
    <w:p>
      <w:pPr>
        <w:rPr>
          <w:rFonts w:ascii="Times New Roman" w:hAnsi="Times New Roman" w:eastAsia="仿宋_GB2312" w:cs="Times New Roman"/>
          <w:vanish/>
          <w:sz w:val="32"/>
          <w:szCs w:val="32"/>
        </w:rPr>
      </w:pPr>
    </w:p>
    <w:p>
      <w:pPr>
        <w:rPr>
          <w:rFonts w:ascii="Times New Roman" w:hAnsi="Times New Roman" w:eastAsia="仿宋_GB2312" w:cs="Times New Roman"/>
          <w:vanish/>
          <w:sz w:val="32"/>
          <w:szCs w:val="32"/>
        </w:rPr>
      </w:pPr>
    </w:p>
    <w:p>
      <w:pPr>
        <w:jc w:val="right"/>
        <w:rPr>
          <w:rFonts w:ascii="Times New Roman" w:hAnsi="Times New Roman" w:eastAsia="仿宋_GB2312" w:cs="Times New Roman"/>
          <w:vanish/>
          <w:sz w:val="32"/>
          <w:szCs w:val="32"/>
        </w:rPr>
      </w:pPr>
    </w:p>
    <w:p>
      <w:pPr>
        <w:rPr>
          <w:rFonts w:ascii="Times New Roman" w:hAnsi="Times New Roman" w:eastAsia="仿宋_GB2312" w:cs="Times New Roman"/>
          <w:vanish/>
          <w:sz w:val="32"/>
          <w:szCs w:val="32"/>
        </w:rPr>
      </w:pPr>
    </w:p>
    <w:p>
      <w:pPr>
        <w:rPr>
          <w:rFonts w:ascii="Times New Roman" w:hAnsi="Times New Roman" w:eastAsia="仿宋_GB2312" w:cs="Times New Roman"/>
          <w:vanish/>
          <w:sz w:val="32"/>
          <w:szCs w:val="32"/>
        </w:rPr>
      </w:pPr>
    </w:p>
    <w:p>
      <w:pPr>
        <w:rPr>
          <w:rFonts w:ascii="Times New Roman" w:hAnsi="Times New Roman" w:eastAsia="仿宋_GB2312" w:cs="Times New Roman"/>
          <w:vanish/>
          <w:sz w:val="32"/>
          <w:szCs w:val="32"/>
        </w:rPr>
      </w:pPr>
    </w:p>
    <w:p>
      <w:pPr>
        <w:snapToGrid w:val="0"/>
        <w:spacing w:line="15" w:lineRule="auto"/>
        <w:rPr>
          <w:rFonts w:ascii="Times New Roman" w:hAnsi="Times New Roman" w:eastAsia="仿宋_GB2312" w:cs="Times New Roman"/>
          <w:vanish/>
          <w:sz w:val="32"/>
          <w:szCs w:val="32"/>
        </w:rPr>
      </w:pPr>
    </w:p>
    <w:p>
      <w:pPr>
        <w:rPr>
          <w:rFonts w:hint="eastAsia" w:ascii="Times New Roman" w:hAnsi="Times New Roman" w:eastAsia="仿宋_GB2312" w:cs="Times New Roman"/>
          <w:vanish/>
          <w:sz w:val="32"/>
          <w:szCs w:val="32"/>
        </w:rPr>
      </w:pPr>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jc w:val="right"/>
        <w:rPr>
          <w:rFonts w:eastAsia="宋体" w:cs="Times New Roman"/>
          <w:vanish/>
          <w:sz w:val="21"/>
          <w:szCs w:val="22"/>
        </w:rPr>
      </w:pPr>
      <w:bookmarkStart w:id="0" w:name="公章"/>
      <w:bookmarkEnd w:id="0"/>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rPr>
          <w:rFonts w:ascii="方正仿宋_GBK" w:eastAsia="方正仿宋_GBK" w:cs="Times New Roman"/>
          <w:vanish/>
          <w:sz w:val="21"/>
          <w:szCs w:val="22"/>
        </w:rPr>
      </w:pPr>
    </w:p>
    <w:p>
      <w:pPr>
        <w:rPr>
          <w:rFonts w:eastAsia="宋体" w:cs="Times New Roman"/>
          <w:vanish/>
          <w:sz w:val="21"/>
          <w:szCs w:val="24"/>
        </w:rPr>
      </w:pPr>
    </w:p>
    <w:p>
      <w:pPr>
        <w:rPr>
          <w:vanish/>
        </w:rPr>
      </w:pPr>
    </w:p>
    <w:p>
      <w:pPr>
        <w:rPr>
          <w:vanish/>
        </w:rPr>
      </w:pPr>
    </w:p>
    <w:p>
      <w:pPr>
        <w:rPr>
          <w:vanish/>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rPr>
          <w:vanish/>
        </w:rPr>
      </w:pPr>
    </w:p>
    <w:p>
      <w:pPr>
        <w:rPr>
          <w:vanish/>
        </w:rPr>
      </w:pPr>
    </w:p>
    <w:p>
      <w:pPr>
        <w:rPr>
          <w:vanish/>
        </w:rPr>
      </w:pPr>
    </w:p>
    <w:p>
      <w:pPr>
        <w:rPr>
          <w:vanish/>
        </w:rPr>
      </w:pPr>
    </w:p>
    <w:p>
      <w:pPr>
        <w:rPr>
          <w:vanish/>
        </w:rPr>
      </w:pPr>
    </w:p>
    <w:sectPr>
      <w:pgSz w:w="11905" w:h="16838"/>
      <w:pgMar w:top="1474" w:right="1984" w:bottom="1587" w:left="2098" w:header="851" w:footer="992" w:gutter="0"/>
      <w:pgNumType w:fmt="numberInDash"/>
      <w:cols w:space="0" w:num="1"/>
      <w:rtlGutter w:val="0"/>
      <w:docGrid w:type="lines" w:linePitch="3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Lines="100"/>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-120015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45pt;height:144pt;width:144pt;mso-position-horizontal:outside;mso-position-horizontal-relative:margin;mso-wrap-style:none;z-index:251659264;mso-width-relative:page;mso-height-relative:page;" filled="f" stroked="f" coordsize="21600,21600" o:gfxdata="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DvatC9UAAAAIAQAADwAAAAAAAAABACAAAAAiAAAAZHJzL2Rvd25yZXYu&#10;eG1sUEsBAhQAFAAAAAgAh07iQL10G3Y3AgAAbwQAAA4AAAAAAAAAAQAgAAAAJAEAAGRycy9lMm9E&#10;b2MueG1sUEsFBgAAAAAGAAYAWQEAAM0FAAAAAA==&#10;">
              <v:fill on="f" focussize="0,0"/>
              <v:stroke on="f" weight="0.5pt"/>
              <v:imagedata o:title=""/>
              <o:lock v:ext="edit" aspectratio="f"/>
              <v:textbox inset="0mm,0mm,0mm,0mm" style="mso-fit-shape-to-text:t;">
                <w:txbxContent>
                  <w:p>
                    <w:pPr>
                      <w:pStyle w:val="6"/>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shape>
          </w:pict>
        </mc:Fallback>
      </mc:AlternateContent>
    </w:r>
    <w:r>
      <w:rPr>
        <w:rFonts w:ascii="宋体" w:hAnsi="宋体" w:cs="宋体"/>
        <w:b/>
        <w:bCs/>
        <w:color w:val="005192"/>
        <w:sz w:val="28"/>
        <w:szCs w:val="44"/>
        <w:lang w:val="en-US"/>
      </w:rPr>
      <mc:AlternateContent>
        <mc:Choice Requires="wps">
          <w:drawing>
            <wp:anchor distT="0" distB="0" distL="114300" distR="114300" simplePos="0" relativeHeight="251661312" behindDoc="0" locked="0" layoutInCell="1" allowOverlap="1">
              <wp:simplePos x="0" y="0"/>
              <wp:positionH relativeFrom="column">
                <wp:posOffset>15240</wp:posOffset>
              </wp:positionH>
              <wp:positionV relativeFrom="paragraph">
                <wp:posOffset>136525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1.2pt;margin-top:10.75pt;height:0.15pt;width:442.25pt;z-index:251661312;mso-width-relative:page;mso-height-relative:page;" filled="f" stroked="t" coordsize="21600,21600" o:gfxdata="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F&#10;U66U1AAAAAc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ascii="宋体" w:hAnsi="宋体" w:cs="宋体"/>
        <w:b/>
        <w:bCs/>
        <w:color w:val="005192"/>
        <w:sz w:val="28"/>
        <w:szCs w:val="44"/>
        <w:lang w:val="en-US"/>
      </w:rPr>
      <w:t>重庆市医疗保障局发布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spacing w:beforeLines="150"/>
      <w:jc w:val="left"/>
      <w:rPr>
        <w:rFonts w:hint="eastAsia" w:ascii="宋体" w:hAnsi="宋体" w:cs="宋体"/>
        <w:b/>
        <w:bCs/>
        <w:color w:val="005192"/>
        <w:sz w:val="32"/>
        <w:szCs w:val="32"/>
        <w:lang w:val="en-US"/>
      </w:rPr>
    </w:pPr>
    <w:r>
      <w:rPr>
        <w:rFonts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7620</wp:posOffset>
              </wp:positionH>
              <wp:positionV relativeFrom="paragraph">
                <wp:posOffset>675005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0" y="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6pt;margin-top:53.15pt;height:0pt;width:442.55pt;z-index:251660288;mso-width-relative:page;mso-height-relative:page;" filled="f" stroked="t" coordsize="21600,21600" o:gfxdata="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16xMIdIA&#10;AAAJAQAADwAAAAAAAAABACAAAAAiAAAAZHJzL2Rvd25yZXYueG1sUEsBAhQAFAAAAAgAh07iQLOJ&#10;ui7sAQAAwAMAAA4AAAAAAAAAAQAgAAAAIQEAAGRycy9lMm9Eb2MueG1sUEsFBgAAAAAGAAYAWQEA&#10;AH8FAAAAAA==&#10;">
              <v:fill on="f" focussize="0,0"/>
              <v:stroke weight="1.75pt" color="#005192" miterlimit="8" joinstyle="miter"/>
              <v:imagedata o:title=""/>
              <o:lock v:ext="edit" aspectratio="f"/>
            </v:line>
          </w:pict>
        </mc:Fallback>
      </mc:AlternateContent>
    </w:r>
    <w:r>
      <w:rPr>
        <w:rFonts w:hint="eastAsia" w:ascii="宋体" w:hAnsi="宋体" w:cs="宋体"/>
        <w:b/>
        <w:bCs/>
        <w:color w:val="005192"/>
        <w:sz w:val="32"/>
        <w:lang w:val="en-US"/>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lang w:val="en-US"/>
      </w:rPr>
      <w:t>重庆市医疗保障局</w:t>
    </w:r>
    <w:r>
      <w:rPr>
        <w:rFonts w:hint="eastAsia" w:ascii="宋体" w:hAnsi="宋体" w:cs="宋体"/>
        <w:b/>
        <w:bCs/>
        <w:color w:val="005192"/>
        <w:sz w:val="32"/>
        <w:szCs w:val="32"/>
        <w:lang w:val="en-US"/>
      </w:rPr>
      <w:t>规范性文件</w:t>
    </w:r>
  </w:p>
  <w:p>
    <w:pPr>
      <w:pStyle w:val="7"/>
      <w:keepNext w:val="0"/>
      <w:keepLines w:val="0"/>
      <w:pageBreakBefore w:val="0"/>
      <w:widowControl w:val="0"/>
      <w:pBdr>
        <w:bottom w:val="none" w:color="auto" w:sz="0" w:space="0"/>
      </w:pBdr>
      <w:kinsoku/>
      <w:wordWrap/>
      <w:overflowPunct/>
      <w:topLinePunct w:val="0"/>
      <w:autoSpaceDE/>
      <w:autoSpaceDN/>
      <w:bidi w:val="0"/>
      <w:adjustRightInd/>
      <w:snapToGrid w:val="0"/>
      <w:jc w:val="left"/>
      <w:textAlignment w:val="auto"/>
      <w:rPr>
        <w:rFonts w:hint="eastAsia" w:ascii="宋体" w:hAnsi="宋体" w:cs="宋体"/>
        <w:b/>
        <w:bCs/>
        <w:color w:val="005192"/>
        <w:sz w:val="32"/>
        <w:szCs w:val="32"/>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68"/>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BD59F1"/>
    <w:rsid w:val="001B29FD"/>
    <w:rsid w:val="001E62AC"/>
    <w:rsid w:val="00256583"/>
    <w:rsid w:val="00287718"/>
    <w:rsid w:val="002958C0"/>
    <w:rsid w:val="00336BD7"/>
    <w:rsid w:val="004375A7"/>
    <w:rsid w:val="00465ED9"/>
    <w:rsid w:val="004F3710"/>
    <w:rsid w:val="006236DB"/>
    <w:rsid w:val="006251EB"/>
    <w:rsid w:val="00627C57"/>
    <w:rsid w:val="006761A9"/>
    <w:rsid w:val="006C28A5"/>
    <w:rsid w:val="006C716A"/>
    <w:rsid w:val="00800B09"/>
    <w:rsid w:val="008A1FBB"/>
    <w:rsid w:val="009569E5"/>
    <w:rsid w:val="00A8021B"/>
    <w:rsid w:val="00BB0F49"/>
    <w:rsid w:val="00BD59F1"/>
    <w:rsid w:val="00C02CA9"/>
    <w:rsid w:val="00C05E09"/>
    <w:rsid w:val="00D822F4"/>
    <w:rsid w:val="00E10AF5"/>
    <w:rsid w:val="00E95DD5"/>
    <w:rsid w:val="00E97256"/>
    <w:rsid w:val="00EC1B42"/>
    <w:rsid w:val="00F65B11"/>
    <w:rsid w:val="00F713B4"/>
    <w:rsid w:val="017161EE"/>
    <w:rsid w:val="0373439E"/>
    <w:rsid w:val="05E13F99"/>
    <w:rsid w:val="06107982"/>
    <w:rsid w:val="069B5865"/>
    <w:rsid w:val="08FE7C34"/>
    <w:rsid w:val="09013BBB"/>
    <w:rsid w:val="09C724A7"/>
    <w:rsid w:val="0B195B80"/>
    <w:rsid w:val="0C410ADE"/>
    <w:rsid w:val="16D81DB6"/>
    <w:rsid w:val="174775C1"/>
    <w:rsid w:val="19F26BB1"/>
    <w:rsid w:val="1A7754F8"/>
    <w:rsid w:val="1B0753E2"/>
    <w:rsid w:val="1C03787B"/>
    <w:rsid w:val="1F66431E"/>
    <w:rsid w:val="1F6B6086"/>
    <w:rsid w:val="1FF2314D"/>
    <w:rsid w:val="20E3156C"/>
    <w:rsid w:val="216632C4"/>
    <w:rsid w:val="21827243"/>
    <w:rsid w:val="23C54B29"/>
    <w:rsid w:val="246F043F"/>
    <w:rsid w:val="250948EB"/>
    <w:rsid w:val="25B67322"/>
    <w:rsid w:val="261C1009"/>
    <w:rsid w:val="26FE3319"/>
    <w:rsid w:val="27851AC3"/>
    <w:rsid w:val="2B1D7252"/>
    <w:rsid w:val="2B372E74"/>
    <w:rsid w:val="2BC52E85"/>
    <w:rsid w:val="2C0679BF"/>
    <w:rsid w:val="2DEC6BE5"/>
    <w:rsid w:val="2E593E6B"/>
    <w:rsid w:val="2EA678A8"/>
    <w:rsid w:val="2F552C1A"/>
    <w:rsid w:val="2FBD190A"/>
    <w:rsid w:val="310205E4"/>
    <w:rsid w:val="314372AE"/>
    <w:rsid w:val="31667E06"/>
    <w:rsid w:val="324E1D58"/>
    <w:rsid w:val="32DA5548"/>
    <w:rsid w:val="335B486B"/>
    <w:rsid w:val="369E4EAA"/>
    <w:rsid w:val="3A0972FD"/>
    <w:rsid w:val="3A681A91"/>
    <w:rsid w:val="3CC11305"/>
    <w:rsid w:val="3E8C7CCF"/>
    <w:rsid w:val="40671451"/>
    <w:rsid w:val="40CB1594"/>
    <w:rsid w:val="41533E94"/>
    <w:rsid w:val="43350544"/>
    <w:rsid w:val="44897362"/>
    <w:rsid w:val="44BE37CF"/>
    <w:rsid w:val="45A537EA"/>
    <w:rsid w:val="464D005F"/>
    <w:rsid w:val="48572A95"/>
    <w:rsid w:val="4A280732"/>
    <w:rsid w:val="4A9A45D5"/>
    <w:rsid w:val="4A9F2515"/>
    <w:rsid w:val="4D3B4FB8"/>
    <w:rsid w:val="4E5F467B"/>
    <w:rsid w:val="53AD1103"/>
    <w:rsid w:val="546D5C10"/>
    <w:rsid w:val="54E36229"/>
    <w:rsid w:val="554B02CC"/>
    <w:rsid w:val="556D5B9C"/>
    <w:rsid w:val="589B50B4"/>
    <w:rsid w:val="59312802"/>
    <w:rsid w:val="5BEE4C02"/>
    <w:rsid w:val="5F1B253F"/>
    <w:rsid w:val="5F430796"/>
    <w:rsid w:val="5F78236B"/>
    <w:rsid w:val="602461BE"/>
    <w:rsid w:val="60E9359A"/>
    <w:rsid w:val="6314426C"/>
    <w:rsid w:val="631B4721"/>
    <w:rsid w:val="633529D8"/>
    <w:rsid w:val="63936688"/>
    <w:rsid w:val="699A3F3C"/>
    <w:rsid w:val="6CF5407A"/>
    <w:rsid w:val="6FAC2205"/>
    <w:rsid w:val="75671C1B"/>
    <w:rsid w:val="7874644F"/>
    <w:rsid w:val="791E0F5E"/>
    <w:rsid w:val="7B1A16F5"/>
    <w:rsid w:val="7CCA0390"/>
    <w:rsid w:val="7E933500"/>
    <w:rsid w:val="7FFF4A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100" w:beforeAutospacing="1" w:after="100" w:afterAutospacing="1"/>
      <w:outlineLvl w:val="0"/>
    </w:pPr>
    <w:rPr>
      <w:rFonts w:hint="eastAsia" w:ascii="宋体" w:hAnsi="宋体"/>
      <w:b/>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link w:val="13"/>
    <w:semiHidden/>
    <w:unhideWhenUsed/>
    <w:qFormat/>
    <w:uiPriority w:val="99"/>
    <w:pPr>
      <w:jc w:val="center"/>
    </w:pPr>
    <w:rPr>
      <w:lang w:val="zh-CN"/>
    </w:rPr>
  </w:style>
  <w:style w:type="paragraph" w:customStyle="1" w:styleId="4">
    <w:name w:val="默认"/>
    <w:qFormat/>
    <w:uiPriority w:val="0"/>
    <w:rPr>
      <w:rFonts w:ascii="Helvetica" w:hAnsi="Helvetica" w:eastAsia="Helvetica" w:cs="Helvetica"/>
      <w:color w:val="000000"/>
      <w:sz w:val="22"/>
      <w:szCs w:val="22"/>
      <w:lang w:val="en-US" w:eastAsia="zh-CN" w:bidi="ar-SA"/>
    </w:rPr>
  </w:style>
  <w:style w:type="paragraph" w:styleId="5">
    <w:name w:val="Balloon Text"/>
    <w:basedOn w:val="1"/>
    <w:link w:val="14"/>
    <w:semiHidden/>
    <w:unhideWhenUsed/>
    <w:qFormat/>
    <w:uiPriority w:val="99"/>
    <w:rPr>
      <w:sz w:val="18"/>
      <w:szCs w:val="18"/>
    </w:rPr>
  </w:style>
  <w:style w:type="paragraph" w:styleId="6">
    <w:name w:val="footer"/>
    <w:basedOn w:val="1"/>
    <w:link w:val="11"/>
    <w:semiHidden/>
    <w:unhideWhenUsed/>
    <w:qFormat/>
    <w:uiPriority w:val="99"/>
    <w:pPr>
      <w:tabs>
        <w:tab w:val="center" w:pos="4153"/>
        <w:tab w:val="right" w:pos="8306"/>
      </w:tabs>
      <w:snapToGrid w:val="0"/>
      <w:jc w:val="left"/>
    </w:pPr>
    <w:rPr>
      <w:kern w:val="0"/>
      <w:sz w:val="18"/>
      <w:szCs w:val="18"/>
      <w:lang w:val="zh-CN"/>
    </w:rPr>
  </w:style>
  <w:style w:type="paragraph" w:styleId="7">
    <w:name w:val="header"/>
    <w:basedOn w:val="1"/>
    <w:link w:val="10"/>
    <w:semiHidden/>
    <w:unhideWhenUsed/>
    <w:qFormat/>
    <w:uiPriority w:val="99"/>
    <w:pPr>
      <w:pBdr>
        <w:bottom w:val="single" w:color="auto" w:sz="6" w:space="1"/>
      </w:pBdr>
      <w:tabs>
        <w:tab w:val="center" w:pos="4153"/>
        <w:tab w:val="right" w:pos="8306"/>
      </w:tabs>
      <w:snapToGrid w:val="0"/>
      <w:jc w:val="center"/>
    </w:pPr>
    <w:rPr>
      <w:kern w:val="0"/>
      <w:sz w:val="18"/>
      <w:szCs w:val="18"/>
      <w:lang w:val="zh-CN"/>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character" w:customStyle="1" w:styleId="12">
    <w:name w:val="正文文本 Char"/>
    <w:semiHidden/>
    <w:qFormat/>
    <w:uiPriority w:val="99"/>
    <w:rPr>
      <w:kern w:val="2"/>
      <w:sz w:val="21"/>
      <w:szCs w:val="22"/>
    </w:rPr>
  </w:style>
  <w:style w:type="character" w:customStyle="1" w:styleId="13">
    <w:name w:val="正文文本 Char1"/>
    <w:link w:val="3"/>
    <w:qFormat/>
    <w:uiPriority w:val="0"/>
    <w:rPr>
      <w:rFonts w:ascii="Times New Roman" w:hAnsi="Times New Roman" w:eastAsia="仿宋_GB2312"/>
      <w:b/>
      <w:color w:val="FF0000"/>
      <w:kern w:val="2"/>
      <w:sz w:val="44"/>
      <w:szCs w:val="32"/>
      <w:lang w:val="zh-CN" w:eastAsia="zh-CN"/>
    </w:rPr>
  </w:style>
  <w:style w:type="character" w:customStyle="1" w:styleId="14">
    <w:name w:val="批注框文本 Char"/>
    <w:basedOn w:val="9"/>
    <w:link w:val="5"/>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Users</Company>
  <Pages>1</Pages>
  <Words>146</Words>
  <Characters>835</Characters>
  <Lines>6</Lines>
  <Paragraphs>1</Paragraphs>
  <TotalTime>1</TotalTime>
  <ScaleCrop>false</ScaleCrop>
  <LinksUpToDate>false</LinksUpToDate>
  <CharactersWithSpaces>980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2021-12-02T08:42:00Z</dcterms:created>
  <dc:creator>赖茜</dc:creator>
  <cp:lastModifiedBy>胡娟</cp:lastModifiedBy>
  <cp:lastPrinted>2023-03-10T07:08:00Z</cp:lastPrinted>
  <dcterms:modified xsi:type="dcterms:W3CDTF">2026-08-07T09:30:04Z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D8AB127C0E3E41AB809939CFD31D88AF</vt:lpwstr>
  </property>
</Properties>
</file>