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9975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left"/>
        <w:textAlignment w:val="auto"/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  <w:t>2</w:t>
      </w:r>
    </w:p>
    <w:p w14:paraId="2D46EA7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left"/>
        <w:textAlignment w:val="auto"/>
        <w:rPr>
          <w:rFonts w:hint="eastAsia" w:ascii="Times New Roman" w:hAnsi="Times New Roman" w:eastAsia="黑体" w:cs="黑体"/>
          <w:color w:val="auto"/>
          <w:sz w:val="32"/>
          <w:szCs w:val="32"/>
          <w:lang w:val="en-US" w:eastAsia="zh-CN"/>
        </w:rPr>
      </w:pPr>
    </w:p>
    <w:p w14:paraId="62332FC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u w:val="none"/>
          <w:lang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u w:val="none"/>
          <w:lang w:eastAsia="zh-CN"/>
        </w:rPr>
        <w:t>广西定点零售药店职工医保个人账户</w:t>
      </w:r>
    </w:p>
    <w:p w14:paraId="14D681D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u w:val="none"/>
          <w:lang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u w:val="none"/>
          <w:lang w:eastAsia="zh-CN"/>
        </w:rPr>
        <w:t>不予支付范围</w:t>
      </w:r>
    </w:p>
    <w:p w14:paraId="0EED45D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32"/>
          <w:szCs w:val="32"/>
          <w:lang w:eastAsia="zh-CN"/>
        </w:rPr>
      </w:pPr>
    </w:p>
    <w:p w14:paraId="661D00E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  <w:lang w:eastAsia="zh-CN"/>
        </w:rPr>
        <w:t>（一）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</w:rPr>
        <w:t>保健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  <w:lang w:eastAsia="zh-CN"/>
        </w:rPr>
        <w:t>品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</w:rPr>
        <w:t>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具有“蓝帽子”标识的保健食品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包括卫食健字、卫进食健字、卫食健进字、国食健字G/J、国食健注G/J、食健备G/J；以及无药品批文的养生保健类产品，包括维生素膳食补充剂、蛋白粉、滋补药酒、养生膏方等非医疗属性养生产品。</w:t>
      </w:r>
    </w:p>
    <w:p w14:paraId="07BB223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  <w:lang w:eastAsia="zh-CN"/>
        </w:rPr>
        <w:t>（二）医疗器械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</w:rPr>
        <w:t>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按照医疗器械批准但以生活功能为主、医疗属性不强的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产品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。包括家具洁具、家用电器、牙膏牙刷牙线、面膜化妆品、隐形眼镜、按摩设备、智能穿戴设备（如智能眼镜、智能手表、智能手环、智能手链、智能项链、智能戒指、智能耳环等）以及主要用于体育健身、养生保健等方面的器械耗材。</w:t>
      </w:r>
    </w:p>
    <w:p w14:paraId="57CB266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  <w:lang w:eastAsia="zh-CN"/>
        </w:rPr>
        <w:t>（三）日常生活用品</w:t>
      </w: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</w:rPr>
        <w:t>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米、面、油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（包括按中药饮片批准的）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、调味品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、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零食、饮料等粮油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食品，包括按中药饮片批准，但单方售卖的八角茴香、小茴香、肉桂、花椒、生姜、黑胡椒、蜂蜜、草果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以及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卫生纸（巾）、洗手液、消毒水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等日化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生活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用品。</w:t>
      </w:r>
    </w:p>
    <w:p w14:paraId="11D80CE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color w:val="auto"/>
          <w:sz w:val="32"/>
          <w:szCs w:val="32"/>
          <w:u w:val="none"/>
        </w:rPr>
        <w:t>（四）其他：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未经药监部门批准的其他产品（符合附件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第（二）（三）项下的情况除外），以及其他国家、自治区有关文件明确个人账户不予支付的产品。</w:t>
      </w:r>
    </w:p>
    <w:p w14:paraId="73E5B9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E38B2CB-99BB-4C6F-8EAD-7BCD00DFD5EB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CFD5E67-FC8E-4CD4-A80D-CDC55E1D312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1F30353-0C75-4DB1-9689-EE5E78235BC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EFD3F0D-7C18-47AA-9DB1-8654753B15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A3AA0"/>
    <w:rsid w:val="0E55790B"/>
    <w:rsid w:val="2B9A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等线 Light"/>
      <w:b/>
      <w:bCs/>
      <w:sz w:val="32"/>
      <w:szCs w:val="32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451</Words>
  <Characters>457</Characters>
  <Lines>0</Lines>
  <Paragraphs>0</Paragraphs>
  <TotalTime>0</TotalTime>
  <ScaleCrop>false</ScaleCrop>
  <LinksUpToDate>false</LinksUpToDate>
  <CharactersWithSpaces>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2026-10-19T09:13:00Z</dcterms:created>
  <dc:creator>Jeuin</dc:creator>
  <cp:lastModifiedBy>Jeuin</cp:lastModifiedBy>
  <dcterms:modified xsi:type="dcterms:W3CDTF">2026-10-19T09:16:19Z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564288D580604C7A947A6D8903161EA7_11</vt:lpwstr>
  </property>
  <property fmtid="{D5CDD505-2E9C-101B-9397-08002B2CF9AE}" pid="4" name="KSOTemplateDocerSaveRecord">
    <vt:lpwstr>eyJoZGlkIjoiNjBlOTY2MTk4ZGExNTQxNWY1NWZhYjRhYTk1NWJhYjIiLCJ1c2VySWQiOiI2NDIyMTMyNjUifQ==</vt:lpwstr>
  </property>
</Properties>
</file>