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102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附件二：</w:t>
      </w:r>
    </w:p>
    <w:p>
      <w:pPr>
        <w:wordWrap w:val="0"/>
        <w:spacing w:line="600" w:lineRule="exact"/>
        <w:ind w:firstLine="640" w:firstLineChars="200"/>
        <w:rPr>
          <w:rFonts w:hint="default" w:ascii="Times New Roman Regular" w:hAnsi="Times New Roman Regular" w:eastAsia="仿宋_GB2312" w:cs="Times New Roman Regular"/>
          <w:sz w:val="32"/>
          <w:szCs w:val="32"/>
          <w:highlight w:val="none"/>
        </w:rPr>
      </w:pPr>
    </w:p>
    <w:p>
      <w:pPr>
        <w:wordWrap/>
        <w:spacing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国家组织医用耗材集中带量采购（第7批）</w:t>
      </w:r>
    </w:p>
    <w:p>
      <w:pPr>
        <w:wordWrap/>
        <w:spacing w:line="600" w:lineRule="exact"/>
        <w:ind w:firstLine="0" w:firstLineChars="0"/>
        <w:jc w:val="center"/>
        <w:rPr>
          <w:rFonts w:hint="default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中选产品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协议采购量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确认医疗机构操作流程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1020"/>
        <w:jc w:val="both"/>
        <w:textAlignment w:val="auto"/>
        <w:rPr>
          <w:rFonts w:hint="eastAsia" w:ascii="华文中宋" w:hAnsi="华文中宋" w:eastAsia="华文中宋" w:cs="华文中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</w:t>
      </w:r>
      <w:r>
        <w:rPr>
          <w:rFonts w:ascii="Times New Roman" w:hAnsi="Times New Roman" w:eastAsia="黑体" w:cs="Times New Roman"/>
          <w:sz w:val="32"/>
          <w:szCs w:val="32"/>
        </w:rPr>
        <w:t>确定协议采购量的途径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医疗机构通过国家医保信息平台（网址：fuwu.nhsa.gov.cn，选择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药品和医用耗材招采服务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国家组织高值医用耗材集中采购信息填报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）进入国家组织医用耗材联合采购平台，在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协议采购量确认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栏目完成相关操作。</w:t>
      </w:r>
    </w:p>
    <w:p>
      <w:pPr>
        <w:wordWrap w:val="0"/>
        <w:spacing w:line="60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二、医疗机构查看分配协议采购量情况</w:t>
      </w:r>
    </w:p>
    <w:p>
      <w:pPr>
        <w:pageBreakBefore w:val="0"/>
        <w:wordWrap w:val="0"/>
        <w:topLinePunct w:val="0"/>
        <w:bidi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医疗机构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可在系统内“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协议采购量确认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”菜单查看分配协议采购量情况。</w:t>
      </w:r>
    </w:p>
    <w:p>
      <w:pPr>
        <w:pageBreakBefore w:val="0"/>
        <w:numPr>
          <w:ilvl w:val="0"/>
          <w:numId w:val="0"/>
        </w:numPr>
        <w:wordWrap w:val="0"/>
        <w:topLinePunct w:val="0"/>
        <w:bidi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二、医疗机构查看待分配量情况</w:t>
      </w:r>
    </w:p>
    <w:p>
      <w:pPr>
        <w:pageBreakBefore w:val="0"/>
        <w:wordWrap w:val="0"/>
        <w:topLinePunct w:val="0"/>
        <w:bidi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医疗机构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可在系统内“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协议采购量确认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”菜单查看待分配量情况。</w:t>
      </w:r>
    </w:p>
    <w:p>
      <w:pPr>
        <w:pageBreakBefore w:val="0"/>
        <w:numPr>
          <w:ilvl w:val="0"/>
          <w:numId w:val="0"/>
        </w:numPr>
        <w:wordWrap w:val="0"/>
        <w:topLinePunct w:val="0"/>
        <w:bidi w:val="0"/>
        <w:spacing w:line="60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三、医疗机构操作协议采购量分配</w:t>
      </w:r>
    </w:p>
    <w:p>
      <w:pPr>
        <w:pageBreakBefore w:val="0"/>
        <w:wordWrap w:val="0"/>
        <w:topLinePunct w:val="0"/>
        <w:bidi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医疗机构若存在待分配量，可在品种页面点击对应产品的“分配”按钮进入该产品协议采购量分配页面，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按照分配规则对剩余量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选择同一品种中选排名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由低到高排序的前40%的中选企业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或填报过采购需求量的可选中选企业，医疗机构可根据该企业产品特征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进行分配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其中，</w:t>
      </w: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  <w:highlight w:val="none"/>
        </w:rPr>
        <w:t>非竞争不充分竞价单元，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非中选、</w:t>
      </w:r>
      <w:r>
        <w:rPr>
          <w:rFonts w:hint="eastAsia" w:ascii="Times New Roman Regular" w:hAnsi="Times New Roman Regular" w:eastAsia="仿宋_GB2312" w:cs="Times New Roman Regular"/>
          <w:b w:val="0"/>
          <w:bCs w:val="0"/>
          <w:sz w:val="32"/>
          <w:szCs w:val="32"/>
          <w:highlight w:val="none"/>
          <w:lang w:val="en-US" w:eastAsia="zh-CN"/>
        </w:rPr>
        <w:t>可比申报价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低于A竞价单元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锚点价格②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规则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未入围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、规则三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中选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及未填报过采购需求量的企业为不可选企业；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</w:rPr>
        <w:t>竞争不充分竞价单元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非中选、</w:t>
      </w:r>
      <w:r>
        <w:rPr>
          <w:rFonts w:hint="eastAsia" w:ascii="Times New Roman Regular" w:hAnsi="Times New Roman Regular" w:eastAsia="仿宋_GB2312" w:cs="Times New Roman Regular"/>
          <w:b w:val="0"/>
          <w:bCs w:val="0"/>
          <w:sz w:val="32"/>
          <w:szCs w:val="32"/>
          <w:highlight w:val="none"/>
          <w:lang w:val="en-US" w:eastAsia="zh-CN"/>
        </w:rPr>
        <w:t>可比申报价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低于A竞价单元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锚点价格②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的企业、规则三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中选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及未填报过采购需求量的企业为不可选企业，均不可进行剩余量的分配。</w:t>
      </w:r>
    </w:p>
    <w:p>
      <w:pPr>
        <w:pageBreakBefore w:val="0"/>
        <w:wordWrap w:val="0"/>
        <w:topLinePunct w:val="0"/>
        <w:bidi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在“协议采购量（分配剩余量）”内对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同一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产品分配不超过剩余待分配量后点击保存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直至系统内“待分配量”栏目数量归零，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如超过待分配量则会提示“分配量不得超过待分配量！”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>
      <w:pPr>
        <w:pageBreakBefore w:val="0"/>
        <w:wordWrap w:val="0"/>
        <w:topLinePunct w:val="0"/>
        <w:bidi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四、医疗机构提交协议采购量分配</w:t>
      </w:r>
    </w:p>
    <w:p>
      <w:pPr>
        <w:pageBreakBefore w:val="0"/>
        <w:wordWrap w:val="0"/>
        <w:topLinePunct w:val="0"/>
        <w:bidi w:val="0"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医疗机构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完成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剩余量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分配后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，点击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报送上级医主管部门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”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按钮，并打印承诺书后签字上传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已提交的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医疗机构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可以申请撤回，点击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申请撤回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按钮，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经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地市医保局或省级医保局确认撤回后可重新修改。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altName w:val="DejaVu San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DF0168"/>
    <w:rsid w:val="DB9FD8BA"/>
    <w:rsid w:val="EFDF01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2026-10-16T18:13:00Z</dcterms:created>
  <dc:creator>Pinkle</dc:creator>
  <cp:lastModifiedBy>yczx</cp:lastModifiedBy>
  <dcterms:modified xsi:type="dcterms:W3CDTF">2026-10-16T14:50:26Z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