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7BEC3">
      <w:pPr>
        <w:keepNext w:val="0"/>
        <w:keepLines w:val="0"/>
        <w:pageBreakBefore w:val="0"/>
        <w:widowControl/>
        <w:kinsoku/>
        <w:wordWrap/>
        <w:overflowPunct/>
        <w:topLinePunct w:val="0"/>
        <w:autoSpaceDE/>
        <w:autoSpaceDN/>
        <w:bidi w:val="0"/>
        <w:adjustRightInd/>
        <w:snapToGrid/>
        <w:spacing w:before="0" w:after="0" w:line="560" w:lineRule="exact"/>
        <w:jc w:val="left"/>
        <w:textAlignment w:val="auto"/>
        <w:rPr>
          <w:rFonts w:hint="eastAsia" w:eastAsia="方正小标宋简体" w:cs="Times New Roman"/>
          <w:color w:val="auto"/>
          <w:sz w:val="44"/>
          <w:szCs w:val="44"/>
          <w:highlight w:val="none"/>
          <w:lang w:val="en-US" w:eastAsia="zh-CN"/>
        </w:rPr>
      </w:pPr>
      <w:bookmarkStart w:id="0" w:name="_GoBack"/>
      <w:bookmarkEnd w:id="0"/>
      <w:r>
        <w:rPr>
          <w:rFonts w:hint="eastAsia" w:ascii="Times New Roman" w:hAnsi="Times New Roman" w:eastAsia="黑体" w:cs="Times New Roman"/>
          <w:b w:val="0"/>
          <w:color w:val="auto"/>
          <w:kern w:val="0"/>
          <w:sz w:val="32"/>
          <w:szCs w:val="22"/>
          <w:lang w:val="en-US" w:eastAsia="zh-CN"/>
        </w:rPr>
        <w:t>附件</w:t>
      </w:r>
      <w:r>
        <w:rPr>
          <w:rFonts w:hint="eastAsia" w:eastAsia="黑体" w:cs="Times New Roman"/>
          <w:b w:val="0"/>
          <w:color w:val="auto"/>
          <w:kern w:val="0"/>
          <w:sz w:val="32"/>
          <w:szCs w:val="22"/>
          <w:lang w:val="en-US" w:eastAsia="zh-CN"/>
        </w:rPr>
        <w:t>：</w:t>
      </w:r>
    </w:p>
    <w:p w14:paraId="2FB720AF">
      <w:pPr>
        <w:keepNext w:val="0"/>
        <w:keepLines w:val="0"/>
        <w:pageBreakBefore w:val="0"/>
        <w:widowControl/>
        <w:kinsoku/>
        <w:wordWrap/>
        <w:overflowPunct/>
        <w:topLinePunct w:val="0"/>
        <w:autoSpaceDE/>
        <w:autoSpaceDN/>
        <w:bidi w:val="0"/>
        <w:adjustRightInd/>
        <w:snapToGrid/>
        <w:spacing w:before="0" w:after="181" w:afterLines="50" w:line="640" w:lineRule="exact"/>
        <w:jc w:val="center"/>
        <w:textAlignment w:val="auto"/>
        <w:rPr>
          <w:rFonts w:hint="default" w:ascii="Times New Roman" w:hAnsi="Times New Roman" w:eastAsia="方正小标宋_GBK" w:cs="Times New Roman"/>
          <w:b w:val="0"/>
          <w:bCs/>
          <w:color w:val="auto"/>
          <w:kern w:val="0"/>
          <w:sz w:val="44"/>
          <w:szCs w:val="44"/>
          <w:lang w:val="en-US" w:eastAsia="zh-CN"/>
        </w:rPr>
      </w:pPr>
      <w:r>
        <w:rPr>
          <w:rFonts w:hint="eastAsia" w:eastAsia="方正小标宋_GBK" w:cs="Times New Roman"/>
          <w:b w:val="0"/>
          <w:bCs/>
          <w:color w:val="auto"/>
          <w:kern w:val="0"/>
          <w:sz w:val="44"/>
          <w:szCs w:val="44"/>
          <w:lang w:val="en-US" w:eastAsia="zh-CN"/>
        </w:rPr>
        <w:t>河北</w:t>
      </w:r>
      <w:r>
        <w:rPr>
          <w:rFonts w:hint="eastAsia" w:ascii="Times New Roman" w:hAnsi="Times New Roman" w:eastAsia="方正小标宋_GBK" w:cs="Times New Roman"/>
          <w:b w:val="0"/>
          <w:bCs/>
          <w:color w:val="auto"/>
          <w:kern w:val="0"/>
          <w:sz w:val="44"/>
          <w:szCs w:val="44"/>
          <w:lang w:val="en-US" w:eastAsia="zh-CN"/>
        </w:rPr>
        <w:t>省医疗机构中药制剂“燕赵名方”遴选标准（征求意见稿）</w:t>
      </w:r>
    </w:p>
    <w:tbl>
      <w:tblPr>
        <w:tblStyle w:val="4"/>
        <w:tblW w:w="13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7"/>
        <w:gridCol w:w="3833"/>
        <w:gridCol w:w="1040"/>
        <w:gridCol w:w="7114"/>
      </w:tblGrid>
      <w:tr w14:paraId="51F8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blHeader/>
          <w:jc w:val="center"/>
        </w:trPr>
        <w:tc>
          <w:tcPr>
            <w:tcW w:w="1897" w:type="dxa"/>
            <w:noWrap w:val="0"/>
            <w:vAlign w:val="center"/>
          </w:tcPr>
          <w:p w14:paraId="72155BCB">
            <w:pPr>
              <w:keepNext w:val="0"/>
              <w:keepLines w:val="0"/>
              <w:pageBreakBefore w:val="0"/>
              <w:widowControl w:val="0"/>
              <w:kinsoku/>
              <w:wordWrap/>
              <w:overflowPunct/>
              <w:topLinePunct w:val="0"/>
              <w:autoSpaceDE/>
              <w:autoSpaceDN/>
              <w:bidi w:val="0"/>
              <w:adjustRightInd/>
              <w:snapToGrid/>
              <w:spacing w:line="280" w:lineRule="exact"/>
              <w:ind w:right="0" w:rightChars="0"/>
              <w:jc w:val="center"/>
              <w:textAlignment w:val="center"/>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一级指标</w:t>
            </w:r>
          </w:p>
        </w:tc>
        <w:tc>
          <w:tcPr>
            <w:tcW w:w="3833" w:type="dxa"/>
            <w:noWrap w:val="0"/>
            <w:vAlign w:val="center"/>
          </w:tcPr>
          <w:p w14:paraId="7F41B412">
            <w:pPr>
              <w:keepNext w:val="0"/>
              <w:keepLines w:val="0"/>
              <w:pageBreakBefore w:val="0"/>
              <w:widowControl w:val="0"/>
              <w:kinsoku/>
              <w:wordWrap/>
              <w:overflowPunct/>
              <w:topLinePunct w:val="0"/>
              <w:autoSpaceDE/>
              <w:autoSpaceDN/>
              <w:bidi w:val="0"/>
              <w:adjustRightInd/>
              <w:snapToGrid/>
              <w:spacing w:line="280" w:lineRule="exact"/>
              <w:ind w:right="0" w:rightChars="0"/>
              <w:jc w:val="center"/>
              <w:textAlignment w:val="center"/>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二级指标</w:t>
            </w:r>
          </w:p>
        </w:tc>
        <w:tc>
          <w:tcPr>
            <w:tcW w:w="1040" w:type="dxa"/>
            <w:noWrap w:val="0"/>
            <w:vAlign w:val="center"/>
          </w:tcPr>
          <w:p w14:paraId="45D5C4BD">
            <w:pPr>
              <w:keepNext w:val="0"/>
              <w:keepLines w:val="0"/>
              <w:pageBreakBefore w:val="0"/>
              <w:widowControl w:val="0"/>
              <w:kinsoku/>
              <w:wordWrap/>
              <w:overflowPunct/>
              <w:topLinePunct w:val="0"/>
              <w:autoSpaceDE/>
              <w:autoSpaceDN/>
              <w:bidi w:val="0"/>
              <w:adjustRightInd/>
              <w:snapToGrid/>
              <w:spacing w:line="280" w:lineRule="exact"/>
              <w:ind w:right="0" w:rightChars="0"/>
              <w:jc w:val="center"/>
              <w:textAlignment w:val="center"/>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分值</w:t>
            </w:r>
          </w:p>
        </w:tc>
        <w:tc>
          <w:tcPr>
            <w:tcW w:w="7114" w:type="dxa"/>
            <w:noWrap w:val="0"/>
            <w:vAlign w:val="center"/>
          </w:tcPr>
          <w:p w14:paraId="7C6D18AE">
            <w:pPr>
              <w:keepNext w:val="0"/>
              <w:keepLines w:val="0"/>
              <w:pageBreakBefore w:val="0"/>
              <w:widowControl w:val="0"/>
              <w:kinsoku/>
              <w:wordWrap/>
              <w:overflowPunct/>
              <w:topLinePunct w:val="0"/>
              <w:autoSpaceDE/>
              <w:autoSpaceDN/>
              <w:bidi w:val="0"/>
              <w:adjustRightInd/>
              <w:snapToGrid/>
              <w:spacing w:line="280" w:lineRule="exact"/>
              <w:ind w:right="0" w:rightChars="0"/>
              <w:jc w:val="center"/>
              <w:textAlignment w:val="center"/>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评分标准</w:t>
            </w:r>
          </w:p>
        </w:tc>
      </w:tr>
      <w:tr w14:paraId="0D366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0" w:hRule="atLeast"/>
          <w:jc w:val="center"/>
        </w:trPr>
        <w:tc>
          <w:tcPr>
            <w:tcW w:w="1897" w:type="dxa"/>
            <w:vMerge w:val="restart"/>
            <w:noWrap w:val="0"/>
            <w:vAlign w:val="center"/>
          </w:tcPr>
          <w:p w14:paraId="09929D04">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黑体" w:cs="Times New Roman"/>
                <w:b w:val="0"/>
                <w:bCs w:val="0"/>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一、中医临床评价（</w:t>
            </w:r>
            <w:r>
              <w:rPr>
                <w:rFonts w:hint="eastAsia" w:eastAsia="黑体" w:cs="Times New Roman"/>
                <w:b w:val="0"/>
                <w:bCs w:val="0"/>
                <w:color w:val="auto"/>
                <w:kern w:val="0"/>
                <w:sz w:val="21"/>
                <w:szCs w:val="21"/>
                <w:highlight w:val="none"/>
                <w:lang w:val="en-US" w:eastAsia="zh-CN" w:bidi="ar"/>
              </w:rPr>
              <w:t>62</w:t>
            </w:r>
            <w:r>
              <w:rPr>
                <w:rFonts w:hint="default" w:ascii="Times New Roman" w:hAnsi="Times New Roman" w:eastAsia="黑体" w:cs="Times New Roman"/>
                <w:b w:val="0"/>
                <w:bCs w:val="0"/>
                <w:color w:val="auto"/>
                <w:kern w:val="0"/>
                <w:sz w:val="21"/>
                <w:szCs w:val="21"/>
                <w:highlight w:val="none"/>
                <w:lang w:bidi="ar"/>
              </w:rPr>
              <w:t>分）</w:t>
            </w:r>
          </w:p>
        </w:tc>
        <w:tc>
          <w:tcPr>
            <w:tcW w:w="3833" w:type="dxa"/>
            <w:noWrap w:val="0"/>
            <w:vAlign w:val="center"/>
          </w:tcPr>
          <w:p w14:paraId="1C0E97F7">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（1）</w:t>
            </w:r>
            <w:r>
              <w:rPr>
                <w:rFonts w:hint="default" w:ascii="Times New Roman" w:hAnsi="Times New Roman" w:eastAsia="仿宋" w:cs="Times New Roman"/>
                <w:b/>
                <w:bCs/>
                <w:color w:val="auto"/>
                <w:kern w:val="0"/>
                <w:sz w:val="21"/>
                <w:szCs w:val="21"/>
                <w:highlight w:val="none"/>
                <w:lang w:val="en-US" w:eastAsia="zh-CN" w:bidi="ar"/>
              </w:rPr>
              <w:t>理论依据及处方来源：</w:t>
            </w:r>
            <w:r>
              <w:rPr>
                <w:rFonts w:hint="default" w:ascii="Times New Roman" w:hAnsi="Times New Roman" w:eastAsia="仿宋" w:cs="Times New Roman"/>
                <w:b w:val="0"/>
                <w:bCs w:val="0"/>
                <w:color w:val="auto"/>
                <w:kern w:val="0"/>
                <w:sz w:val="21"/>
                <w:szCs w:val="21"/>
                <w:highlight w:val="none"/>
                <w:lang w:val="en-US" w:eastAsia="zh-CN" w:bidi="ar"/>
              </w:rPr>
              <w:t>以中医理论为指导，理法方药合理</w:t>
            </w:r>
            <w:r>
              <w:rPr>
                <w:rFonts w:hint="default" w:ascii="Times New Roman" w:hAnsi="Times New Roman" w:eastAsia="仿宋" w:cs="Times New Roman"/>
                <w:color w:val="auto"/>
                <w:kern w:val="0"/>
                <w:sz w:val="21"/>
                <w:szCs w:val="21"/>
                <w:highlight w:val="none"/>
                <w:lang w:eastAsia="zh-CN" w:bidi="ar"/>
              </w:rPr>
              <w:t>。</w:t>
            </w:r>
          </w:p>
        </w:tc>
        <w:tc>
          <w:tcPr>
            <w:tcW w:w="1040" w:type="dxa"/>
            <w:noWrap w:val="0"/>
            <w:vAlign w:val="center"/>
          </w:tcPr>
          <w:p w14:paraId="3673B4CA">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kern w:val="0"/>
                <w:sz w:val="21"/>
                <w:szCs w:val="21"/>
                <w:highlight w:val="none"/>
                <w:lang w:bidi="ar"/>
              </w:rPr>
              <w:t>1</w:t>
            </w:r>
            <w:r>
              <w:rPr>
                <w:rFonts w:hint="default" w:ascii="Times New Roman" w:hAnsi="Times New Roman" w:eastAsia="仿宋" w:cs="Times New Roman"/>
                <w:b/>
                <w:bCs/>
                <w:color w:val="auto"/>
                <w:kern w:val="0"/>
                <w:sz w:val="21"/>
                <w:szCs w:val="21"/>
                <w:highlight w:val="none"/>
                <w:lang w:val="en-US" w:eastAsia="zh-CN" w:bidi="ar"/>
              </w:rPr>
              <w:t>7</w:t>
            </w:r>
          </w:p>
        </w:tc>
        <w:tc>
          <w:tcPr>
            <w:tcW w:w="7114" w:type="dxa"/>
            <w:noWrap w:val="0"/>
            <w:vAlign w:val="center"/>
          </w:tcPr>
          <w:p w14:paraId="479FB2CB">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一、理法方药合理，9分。</w:t>
            </w:r>
          </w:p>
          <w:p w14:paraId="2BFF69C0">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治则治法有明确的中医理论支持，</w:t>
            </w:r>
            <w:r>
              <w:rPr>
                <w:rFonts w:hint="default" w:ascii="Times New Roman" w:hAnsi="Times New Roman" w:eastAsia="仿宋" w:cs="Times New Roman"/>
                <w:color w:val="auto"/>
                <w:sz w:val="21"/>
                <w:szCs w:val="21"/>
                <w:highlight w:val="none"/>
                <w:lang w:val="en-US" w:eastAsia="zh-CN"/>
              </w:rPr>
              <w:t>理法方药合理，处方方解阐释严谨、配伍逻辑合理，4～6</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p w14:paraId="79757326">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适用人群及临床定位明确</w:t>
            </w:r>
            <w:r>
              <w:rPr>
                <w:rFonts w:hint="default" w:ascii="Times New Roman" w:hAnsi="Times New Roman" w:eastAsia="仿宋" w:cs="Times New Roman"/>
                <w:color w:val="auto"/>
                <w:sz w:val="21"/>
                <w:szCs w:val="21"/>
                <w:highlight w:val="none"/>
                <w:lang w:eastAsia="zh-CN"/>
              </w:rPr>
              <w:t>，辨证</w:t>
            </w:r>
            <w:r>
              <w:rPr>
                <w:rFonts w:hint="default" w:ascii="Times New Roman" w:hAnsi="Times New Roman" w:eastAsia="仿宋" w:cs="Times New Roman"/>
                <w:color w:val="auto"/>
                <w:sz w:val="21"/>
                <w:szCs w:val="21"/>
                <w:highlight w:val="none"/>
                <w:lang w:val="en-US" w:eastAsia="zh-CN"/>
              </w:rPr>
              <w:t>指向清晰，用药专属性强，临床应用场景具体可辨，1～3</w:t>
            </w:r>
            <w:r>
              <w:rPr>
                <w:rFonts w:hint="default" w:ascii="Times New Roman" w:hAnsi="Times New Roman" w:eastAsia="仿宋" w:cs="Times New Roman"/>
                <w:color w:val="auto"/>
                <w:sz w:val="21"/>
                <w:szCs w:val="21"/>
                <w:highlight w:val="none"/>
              </w:rPr>
              <w:t>分。</w:t>
            </w:r>
          </w:p>
          <w:p w14:paraId="18066ED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firstLine="422" w:firstLineChars="200"/>
              <w:jc w:val="both"/>
              <w:textAlignment w:val="auto"/>
              <w:outlineLvl w:val="9"/>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b/>
                <w:bCs/>
                <w:color w:val="auto"/>
                <w:sz w:val="21"/>
                <w:szCs w:val="21"/>
                <w:highlight w:val="none"/>
                <w:lang w:val="en-US" w:eastAsia="zh-CN"/>
              </w:rPr>
              <w:t>二</w:t>
            </w:r>
            <w:r>
              <w:rPr>
                <w:rFonts w:hint="default" w:ascii="Times New Roman" w:hAnsi="Times New Roman" w:eastAsia="仿宋" w:cs="Times New Roman"/>
                <w:b/>
                <w:bCs/>
                <w:color w:val="auto"/>
                <w:sz w:val="21"/>
                <w:szCs w:val="21"/>
                <w:highlight w:val="none"/>
              </w:rPr>
              <w:t>、源于名医名方</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8</w:t>
            </w:r>
            <w:r>
              <w:rPr>
                <w:rFonts w:hint="default" w:ascii="Times New Roman" w:hAnsi="Times New Roman" w:eastAsia="仿宋" w:cs="Times New Roman"/>
                <w:b/>
                <w:bCs/>
                <w:color w:val="auto"/>
                <w:sz w:val="21"/>
                <w:szCs w:val="21"/>
                <w:highlight w:val="none"/>
              </w:rPr>
              <w:t>分。</w:t>
            </w:r>
          </w:p>
          <w:p w14:paraId="5071632C">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lang w:val="en-US" w:eastAsia="zh-CN"/>
              </w:rPr>
              <w:t>1.</w:t>
            </w:r>
            <w:r>
              <w:rPr>
                <w:rFonts w:hint="default" w:ascii="Times New Roman" w:hAnsi="Times New Roman" w:eastAsia="仿宋" w:cs="Times New Roman"/>
                <w:b/>
                <w:bCs/>
                <w:color w:val="auto"/>
                <w:sz w:val="21"/>
                <w:szCs w:val="21"/>
                <w:highlight w:val="none"/>
              </w:rPr>
              <w:t>处方源于名医，</w:t>
            </w:r>
            <w:r>
              <w:rPr>
                <w:rFonts w:hint="default" w:ascii="Times New Roman" w:hAnsi="Times New Roman" w:eastAsia="仿宋" w:cs="Times New Roman"/>
                <w:b/>
                <w:bCs/>
                <w:color w:val="auto"/>
                <w:sz w:val="21"/>
                <w:szCs w:val="21"/>
                <w:highlight w:val="none"/>
                <w:lang w:val="en-US" w:eastAsia="zh-CN"/>
              </w:rPr>
              <w:t>1～4</w:t>
            </w:r>
            <w:r>
              <w:rPr>
                <w:rFonts w:hint="default" w:ascii="Times New Roman" w:hAnsi="Times New Roman" w:eastAsia="仿宋" w:cs="Times New Roman"/>
                <w:b/>
                <w:bCs/>
                <w:color w:val="auto"/>
                <w:sz w:val="21"/>
                <w:szCs w:val="21"/>
                <w:highlight w:val="none"/>
              </w:rPr>
              <w:t>分。</w:t>
            </w:r>
          </w:p>
          <w:p w14:paraId="343079A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院士、国医大师，</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分；全国名中医、</w:t>
            </w:r>
            <w:r>
              <w:rPr>
                <w:rFonts w:hint="default" w:ascii="Times New Roman" w:hAnsi="Times New Roman" w:eastAsia="仿宋" w:cs="Times New Roman"/>
                <w:color w:val="auto"/>
                <w:sz w:val="21"/>
                <w:szCs w:val="21"/>
                <w:highlight w:val="none"/>
                <w:u w:val="none"/>
                <w:lang w:eastAsia="zh-CN"/>
              </w:rPr>
              <w:t>国家</w:t>
            </w:r>
            <w:r>
              <w:rPr>
                <w:rFonts w:hint="default" w:ascii="Times New Roman" w:hAnsi="Times New Roman" w:eastAsia="仿宋" w:cs="Times New Roman"/>
                <w:color w:val="auto"/>
                <w:sz w:val="21"/>
                <w:szCs w:val="21"/>
                <w:highlight w:val="none"/>
                <w:u w:val="none"/>
              </w:rPr>
              <w:t>名老中医药专家</w:t>
            </w:r>
            <w:r>
              <w:rPr>
                <w:rFonts w:hint="default" w:ascii="Times New Roman" w:hAnsi="Times New Roman" w:eastAsia="仿宋" w:cs="Times New Roman"/>
                <w:color w:val="auto"/>
                <w:sz w:val="21"/>
                <w:szCs w:val="21"/>
                <w:highlight w:val="none"/>
                <w:u w:val="none"/>
                <w:lang w:eastAsia="zh-CN"/>
              </w:rPr>
              <w:t>学术经验继承工作</w:t>
            </w:r>
            <w:r>
              <w:rPr>
                <w:rFonts w:hint="default" w:ascii="Times New Roman" w:hAnsi="Times New Roman" w:eastAsia="仿宋" w:cs="Times New Roman"/>
                <w:color w:val="auto"/>
                <w:sz w:val="21"/>
                <w:szCs w:val="21"/>
                <w:highlight w:val="none"/>
                <w:u w:val="none"/>
              </w:rPr>
              <w:t>指导老师</w:t>
            </w:r>
            <w:r>
              <w:rPr>
                <w:rFonts w:hint="default" w:ascii="Times New Roman" w:hAnsi="Times New Roman" w:eastAsia="仿宋" w:cs="Times New Roman"/>
                <w:color w:val="auto"/>
                <w:sz w:val="21"/>
                <w:szCs w:val="21"/>
                <w:highlight w:val="none"/>
                <w:u w:val="none"/>
                <w:lang w:eastAsia="zh-CN"/>
              </w:rPr>
              <w:t>、</w:t>
            </w:r>
            <w:r>
              <w:rPr>
                <w:rFonts w:hint="default" w:ascii="Times New Roman" w:hAnsi="Times New Roman" w:eastAsia="仿宋" w:cs="Times New Roman"/>
                <w:color w:val="auto"/>
                <w:sz w:val="21"/>
                <w:szCs w:val="21"/>
                <w:highlight w:val="none"/>
                <w:u w:val="none"/>
              </w:rPr>
              <w:t>岐黄学者</w:t>
            </w:r>
            <w:r>
              <w:rPr>
                <w:rFonts w:hint="default" w:ascii="Times New Roman" w:hAnsi="Times New Roman" w:eastAsia="仿宋" w:cs="Times New Roman"/>
                <w:color w:val="auto"/>
                <w:sz w:val="21"/>
                <w:szCs w:val="21"/>
                <w:highlight w:val="none"/>
                <w:u w:val="none"/>
                <w:lang w:eastAsia="zh-CN"/>
              </w:rPr>
              <w:t>、青年岐黄学者</w:t>
            </w:r>
            <w:r>
              <w:rPr>
                <w:rFonts w:hint="default" w:ascii="Times New Roman" w:hAnsi="Times New Roman" w:eastAsia="仿宋" w:cs="Times New Roman"/>
                <w:color w:val="auto"/>
                <w:sz w:val="21"/>
                <w:szCs w:val="21"/>
                <w:highlight w:val="none"/>
                <w:u w:val="none"/>
              </w:rPr>
              <w:t>，</w:t>
            </w:r>
            <w:r>
              <w:rPr>
                <w:rFonts w:hint="default" w:ascii="Times New Roman" w:hAnsi="Times New Roman" w:eastAsia="仿宋" w:cs="Times New Roman"/>
                <w:color w:val="auto"/>
                <w:sz w:val="21"/>
                <w:szCs w:val="21"/>
                <w:highlight w:val="none"/>
                <w:u w:val="none"/>
                <w:lang w:val="en-US" w:eastAsia="zh-CN"/>
              </w:rPr>
              <w:t>3</w:t>
            </w:r>
            <w:r>
              <w:rPr>
                <w:rFonts w:hint="default" w:ascii="Times New Roman" w:hAnsi="Times New Roman" w:eastAsia="仿宋" w:cs="Times New Roman"/>
                <w:color w:val="auto"/>
                <w:sz w:val="21"/>
                <w:szCs w:val="21"/>
                <w:highlight w:val="none"/>
                <w:u w:val="none"/>
              </w:rPr>
              <w:t>分；</w:t>
            </w:r>
            <w:r>
              <w:rPr>
                <w:rFonts w:hint="eastAsia" w:eastAsia="仿宋" w:cs="Times New Roman"/>
                <w:color w:val="auto"/>
                <w:sz w:val="21"/>
                <w:szCs w:val="21"/>
                <w:highlight w:val="none"/>
                <w:u w:val="none"/>
                <w:lang w:eastAsia="zh-CN"/>
              </w:rPr>
              <w:t>我省</w:t>
            </w:r>
            <w:r>
              <w:rPr>
                <w:rFonts w:hint="default" w:ascii="Times New Roman" w:hAnsi="Times New Roman" w:eastAsia="仿宋" w:cs="Times New Roman"/>
                <w:color w:val="auto"/>
                <w:sz w:val="21"/>
                <w:szCs w:val="21"/>
                <w:highlight w:val="none"/>
                <w:u w:val="none"/>
              </w:rPr>
              <w:t>省名中医、</w:t>
            </w:r>
            <w:r>
              <w:rPr>
                <w:rFonts w:hint="eastAsia" w:eastAsia="仿宋" w:cs="Times New Roman"/>
                <w:color w:val="auto"/>
                <w:sz w:val="21"/>
                <w:szCs w:val="21"/>
                <w:highlight w:val="none"/>
                <w:u w:val="none"/>
                <w:lang w:eastAsia="zh-CN"/>
              </w:rPr>
              <w:t>我省</w:t>
            </w:r>
            <w:r>
              <w:rPr>
                <w:rFonts w:hint="default" w:ascii="Times New Roman" w:hAnsi="Times New Roman" w:eastAsia="仿宋" w:cs="Times New Roman"/>
                <w:color w:val="auto"/>
                <w:sz w:val="21"/>
                <w:szCs w:val="21"/>
                <w:highlight w:val="none"/>
                <w:u w:val="none"/>
                <w:lang w:eastAsia="zh-CN"/>
              </w:rPr>
              <w:t>省</w:t>
            </w:r>
            <w:r>
              <w:rPr>
                <w:rFonts w:hint="default" w:ascii="Times New Roman" w:hAnsi="Times New Roman" w:eastAsia="仿宋" w:cs="Times New Roman"/>
                <w:color w:val="auto"/>
                <w:sz w:val="21"/>
                <w:szCs w:val="21"/>
                <w:highlight w:val="none"/>
                <w:u w:val="none"/>
              </w:rPr>
              <w:t>名老中医药专家</w:t>
            </w:r>
            <w:r>
              <w:rPr>
                <w:rFonts w:hint="default" w:ascii="Times New Roman" w:hAnsi="Times New Roman" w:eastAsia="仿宋" w:cs="Times New Roman"/>
                <w:color w:val="auto"/>
                <w:sz w:val="21"/>
                <w:szCs w:val="21"/>
                <w:highlight w:val="none"/>
                <w:u w:val="none"/>
                <w:lang w:eastAsia="zh-CN"/>
              </w:rPr>
              <w:t>学术经验继承工作</w:t>
            </w:r>
            <w:r>
              <w:rPr>
                <w:rFonts w:hint="default" w:ascii="Times New Roman" w:hAnsi="Times New Roman" w:eastAsia="仿宋" w:cs="Times New Roman"/>
                <w:color w:val="auto"/>
                <w:sz w:val="21"/>
                <w:szCs w:val="21"/>
                <w:highlight w:val="none"/>
                <w:u w:val="none"/>
              </w:rPr>
              <w:t>指导老师，</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其他，1分</w:t>
            </w:r>
            <w:r>
              <w:rPr>
                <w:rFonts w:hint="default" w:ascii="Times New Roman" w:hAnsi="Times New Roman" w:eastAsia="仿宋" w:cs="Times New Roman"/>
                <w:color w:val="auto"/>
                <w:sz w:val="21"/>
                <w:szCs w:val="21"/>
                <w:highlight w:val="none"/>
              </w:rPr>
              <w:t>。</w:t>
            </w:r>
          </w:p>
          <w:p w14:paraId="6B4554E3">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2.重点专科：1～2分。</w:t>
            </w:r>
          </w:p>
          <w:p w14:paraId="1F789E58">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rPr>
              <w:t>处方提供者所在专科为国家临床重点专科或国家中医药管理局重点专科，2 分；为</w:t>
            </w:r>
            <w:r>
              <w:rPr>
                <w:rFonts w:hint="eastAsia" w:eastAsia="仿宋" w:cs="Times New Roman"/>
                <w:color w:val="auto"/>
                <w:sz w:val="21"/>
                <w:szCs w:val="21"/>
                <w:highlight w:val="none"/>
                <w:lang w:eastAsia="zh-CN"/>
              </w:rPr>
              <w:t>我省</w:t>
            </w:r>
            <w:r>
              <w:rPr>
                <w:rFonts w:hint="default" w:ascii="Times New Roman" w:hAnsi="Times New Roman" w:eastAsia="仿宋" w:cs="Times New Roman"/>
                <w:color w:val="auto"/>
                <w:sz w:val="21"/>
                <w:szCs w:val="21"/>
                <w:highlight w:val="none"/>
              </w:rPr>
              <w:t>中医重点专科，1分</w:t>
            </w:r>
            <w:r>
              <w:rPr>
                <w:rFonts w:hint="default" w:ascii="Times New Roman" w:hAnsi="Times New Roman" w:eastAsia="仿宋" w:cs="Times New Roman"/>
                <w:color w:val="auto"/>
                <w:sz w:val="21"/>
                <w:szCs w:val="21"/>
                <w:highlight w:val="none"/>
                <w:lang w:val="en-US" w:eastAsia="zh-CN"/>
              </w:rPr>
              <w:t>。</w:t>
            </w:r>
          </w:p>
          <w:p w14:paraId="0520C402">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3.</w:t>
            </w:r>
            <w:r>
              <w:rPr>
                <w:rFonts w:hint="default" w:ascii="Times New Roman" w:hAnsi="Times New Roman" w:eastAsia="仿宋" w:cs="Times New Roman"/>
                <w:b/>
                <w:bCs/>
                <w:color w:val="auto"/>
                <w:sz w:val="21"/>
                <w:szCs w:val="21"/>
                <w:highlight w:val="none"/>
              </w:rPr>
              <w:t>处方源于名</w:t>
            </w:r>
            <w:r>
              <w:rPr>
                <w:rFonts w:hint="default" w:ascii="Times New Roman" w:hAnsi="Times New Roman" w:eastAsia="仿宋" w:cs="Times New Roman"/>
                <w:b/>
                <w:bCs/>
                <w:color w:val="auto"/>
                <w:sz w:val="21"/>
                <w:szCs w:val="21"/>
                <w:highlight w:val="none"/>
                <w:lang w:val="en-US" w:eastAsia="zh-CN"/>
              </w:rPr>
              <w:t>方，2分。</w:t>
            </w:r>
          </w:p>
          <w:p w14:paraId="6BB1DA3B">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0" w:rightChars="0" w:firstLine="420" w:firstLineChars="200"/>
              <w:jc w:val="both"/>
              <w:textAlignment w:val="auto"/>
              <w:outlineLvl w:val="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u w:val="none"/>
                <w:lang w:val="en-US" w:eastAsia="zh-CN"/>
              </w:rPr>
              <w:t>制剂基于《黄帝内经》《金匮要略》《伤寒杂病论》《诸病源候论》等古代典籍的，2分。</w:t>
            </w:r>
          </w:p>
        </w:tc>
      </w:tr>
      <w:tr w14:paraId="583C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897" w:type="dxa"/>
            <w:vMerge w:val="continue"/>
            <w:noWrap w:val="0"/>
            <w:vAlign w:val="center"/>
          </w:tcPr>
          <w:p w14:paraId="60F9BA0A">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6A720583">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（2）</w:t>
            </w:r>
            <w:r>
              <w:rPr>
                <w:rFonts w:hint="default" w:ascii="Times New Roman" w:hAnsi="Times New Roman" w:eastAsia="仿宋" w:cs="Times New Roman"/>
                <w:b/>
                <w:bCs/>
                <w:color w:val="auto"/>
                <w:kern w:val="0"/>
                <w:sz w:val="21"/>
                <w:szCs w:val="21"/>
                <w:highlight w:val="none"/>
                <w:lang w:val="en-US" w:eastAsia="zh-CN" w:bidi="ar"/>
              </w:rPr>
              <w:t>临床需求与优势：</w:t>
            </w:r>
            <w:r>
              <w:rPr>
                <w:rFonts w:hint="default" w:ascii="Times New Roman" w:hAnsi="Times New Roman" w:eastAsia="仿宋" w:cs="Times New Roman"/>
                <w:color w:val="auto"/>
                <w:kern w:val="0"/>
                <w:sz w:val="21"/>
                <w:szCs w:val="21"/>
                <w:highlight w:val="none"/>
                <w:lang w:bidi="ar"/>
              </w:rPr>
              <w:t>可满足其他临床药品未能满足的临床需求；与</w:t>
            </w:r>
            <w:r>
              <w:rPr>
                <w:rFonts w:hint="eastAsia" w:eastAsia="仿宋" w:cs="Times New Roman"/>
                <w:color w:val="auto"/>
                <w:kern w:val="0"/>
                <w:sz w:val="21"/>
                <w:szCs w:val="21"/>
                <w:highlight w:val="none"/>
                <w:lang w:eastAsia="zh-CN" w:bidi="ar"/>
              </w:rPr>
              <w:t>我省</w:t>
            </w:r>
            <w:r>
              <w:rPr>
                <w:rFonts w:hint="default" w:ascii="Times New Roman" w:hAnsi="Times New Roman" w:eastAsia="仿宋" w:cs="Times New Roman"/>
                <w:color w:val="auto"/>
                <w:kern w:val="0"/>
                <w:sz w:val="21"/>
                <w:szCs w:val="21"/>
                <w:highlight w:val="none"/>
                <w:lang w:bidi="ar"/>
              </w:rPr>
              <w:t>省内同病种</w:t>
            </w:r>
            <w:r>
              <w:rPr>
                <w:rFonts w:hint="default" w:ascii="Times New Roman" w:hAnsi="Times New Roman" w:eastAsia="仿宋" w:cs="Times New Roman"/>
                <w:color w:val="auto"/>
                <w:kern w:val="0"/>
                <w:sz w:val="21"/>
                <w:szCs w:val="21"/>
                <w:highlight w:val="none"/>
                <w:lang w:val="en-US" w:eastAsia="zh-CN" w:bidi="ar"/>
              </w:rPr>
              <w:t>治疗药物</w:t>
            </w:r>
            <w:r>
              <w:rPr>
                <w:rFonts w:hint="default" w:ascii="Times New Roman" w:hAnsi="Times New Roman" w:eastAsia="仿宋" w:cs="Times New Roman"/>
                <w:color w:val="auto"/>
                <w:kern w:val="0"/>
                <w:sz w:val="21"/>
                <w:szCs w:val="21"/>
                <w:highlight w:val="none"/>
                <w:lang w:bidi="ar"/>
              </w:rPr>
              <w:t>比较，待遴选制剂疗效显著、特色突出，在临床疗效和药物经济学</w:t>
            </w:r>
            <w:r>
              <w:rPr>
                <w:rFonts w:hint="eastAsia" w:eastAsia="仿宋" w:cs="Times New Roman"/>
                <w:color w:val="auto"/>
                <w:kern w:val="0"/>
                <w:sz w:val="21"/>
                <w:szCs w:val="21"/>
                <w:highlight w:val="none"/>
                <w:lang w:eastAsia="zh-CN" w:bidi="ar"/>
              </w:rPr>
              <w:t>等具</w:t>
            </w:r>
            <w:r>
              <w:rPr>
                <w:rFonts w:hint="default" w:ascii="Times New Roman" w:hAnsi="Times New Roman" w:eastAsia="仿宋" w:cs="Times New Roman"/>
                <w:color w:val="auto"/>
                <w:kern w:val="0"/>
                <w:sz w:val="21"/>
                <w:szCs w:val="21"/>
                <w:highlight w:val="none"/>
                <w:lang w:bidi="ar"/>
              </w:rPr>
              <w:t>有明显优势</w:t>
            </w:r>
            <w:r>
              <w:rPr>
                <w:rFonts w:hint="default" w:ascii="Times New Roman" w:hAnsi="Times New Roman" w:eastAsia="仿宋" w:cs="Times New Roman"/>
                <w:color w:val="auto"/>
                <w:kern w:val="0"/>
                <w:sz w:val="21"/>
                <w:szCs w:val="21"/>
                <w:highlight w:val="none"/>
                <w:lang w:eastAsia="zh-CN" w:bidi="ar"/>
              </w:rPr>
              <w:t>。</w:t>
            </w:r>
          </w:p>
        </w:tc>
        <w:tc>
          <w:tcPr>
            <w:tcW w:w="1040" w:type="dxa"/>
            <w:noWrap w:val="0"/>
            <w:vAlign w:val="center"/>
          </w:tcPr>
          <w:p w14:paraId="094CC080">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kern w:val="0"/>
                <w:sz w:val="21"/>
                <w:szCs w:val="21"/>
                <w:highlight w:val="none"/>
                <w:lang w:bidi="ar"/>
              </w:rPr>
              <w:t>1</w:t>
            </w:r>
            <w:r>
              <w:rPr>
                <w:rFonts w:hint="default" w:ascii="Times New Roman" w:hAnsi="Times New Roman" w:eastAsia="仿宋" w:cs="Times New Roman"/>
                <w:b/>
                <w:bCs/>
                <w:color w:val="auto"/>
                <w:kern w:val="0"/>
                <w:sz w:val="21"/>
                <w:szCs w:val="21"/>
                <w:highlight w:val="none"/>
                <w:lang w:val="en-US" w:eastAsia="zh-CN" w:bidi="ar"/>
              </w:rPr>
              <w:t>0</w:t>
            </w:r>
          </w:p>
        </w:tc>
        <w:tc>
          <w:tcPr>
            <w:tcW w:w="7114" w:type="dxa"/>
            <w:noWrap w:val="0"/>
            <w:vAlign w:val="center"/>
          </w:tcPr>
          <w:p w14:paraId="47E26C34">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
                <w:bCs w:val="0"/>
                <w:color w:val="auto"/>
                <w:sz w:val="21"/>
                <w:szCs w:val="21"/>
                <w:highlight w:val="none"/>
              </w:rPr>
              <w:t>一、满足临床需求</w:t>
            </w:r>
            <w:r>
              <w:rPr>
                <w:rFonts w:hint="default" w:ascii="Times New Roman" w:hAnsi="Times New Roman" w:eastAsia="仿宋" w:cs="Times New Roman"/>
                <w:b/>
                <w:bCs w:val="0"/>
                <w:color w:val="auto"/>
                <w:sz w:val="21"/>
                <w:szCs w:val="21"/>
                <w:highlight w:val="none"/>
                <w:lang w:eastAsia="zh-CN"/>
              </w:rPr>
              <w:t>，</w:t>
            </w:r>
            <w:r>
              <w:rPr>
                <w:rFonts w:hint="default" w:ascii="Times New Roman" w:hAnsi="Times New Roman" w:eastAsia="仿宋" w:cs="Times New Roman"/>
                <w:b/>
                <w:bCs w:val="0"/>
                <w:color w:val="auto"/>
                <w:sz w:val="21"/>
                <w:szCs w:val="21"/>
                <w:highlight w:val="none"/>
                <w:lang w:val="en-US" w:eastAsia="zh-CN"/>
              </w:rPr>
              <w:t>5</w:t>
            </w:r>
            <w:r>
              <w:rPr>
                <w:rFonts w:hint="default" w:ascii="Times New Roman" w:hAnsi="Times New Roman" w:eastAsia="仿宋" w:cs="Times New Roman"/>
                <w:b/>
                <w:bCs w:val="0"/>
                <w:color w:val="auto"/>
                <w:sz w:val="21"/>
                <w:szCs w:val="21"/>
                <w:highlight w:val="none"/>
              </w:rPr>
              <w:t>分。</w:t>
            </w:r>
          </w:p>
          <w:p w14:paraId="7FB6E0C2">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1.目前无其他药物治疗手段的，疾病危害程度</w:t>
            </w:r>
            <w:r>
              <w:rPr>
                <w:rFonts w:hint="default" w:ascii="Times New Roman" w:hAnsi="Times New Roman" w:eastAsia="仿宋" w:cs="Times New Roman"/>
                <w:bCs/>
                <w:color w:val="auto"/>
                <w:sz w:val="21"/>
                <w:szCs w:val="21"/>
                <w:highlight w:val="none"/>
                <w:lang w:val="en-US" w:eastAsia="zh-CN"/>
              </w:rPr>
              <w:t>与</w:t>
            </w:r>
            <w:r>
              <w:rPr>
                <w:rFonts w:hint="default" w:ascii="Times New Roman" w:hAnsi="Times New Roman" w:eastAsia="仿宋" w:cs="Times New Roman"/>
                <w:bCs/>
                <w:color w:val="auto"/>
                <w:sz w:val="21"/>
                <w:szCs w:val="21"/>
                <w:highlight w:val="none"/>
              </w:rPr>
              <w:t>临床急需程度</w:t>
            </w:r>
            <w:r>
              <w:rPr>
                <w:rFonts w:hint="default" w:ascii="Times New Roman" w:hAnsi="Times New Roman" w:eastAsia="仿宋" w:cs="Times New Roman"/>
                <w:bCs/>
                <w:color w:val="auto"/>
                <w:sz w:val="21"/>
                <w:szCs w:val="21"/>
                <w:highlight w:val="none"/>
                <w:lang w:val="en-US" w:eastAsia="zh-CN"/>
              </w:rPr>
              <w:t>紧急</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rPr>
              <w:t>4</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lang w:val="en-US" w:eastAsia="zh-CN"/>
              </w:rPr>
              <w:t>5</w:t>
            </w:r>
            <w:r>
              <w:rPr>
                <w:rFonts w:hint="default" w:ascii="Times New Roman" w:hAnsi="Times New Roman" w:eastAsia="仿宋" w:cs="Times New Roman"/>
                <w:bCs/>
                <w:color w:val="auto"/>
                <w:sz w:val="21"/>
                <w:szCs w:val="21"/>
                <w:highlight w:val="none"/>
              </w:rPr>
              <w:t xml:space="preserve"> 分；</w:t>
            </w:r>
          </w:p>
          <w:p w14:paraId="0F0F3D1C">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2.治疗效果优于其他已上市药品，疗效显著</w:t>
            </w:r>
            <w:r>
              <w:rPr>
                <w:rFonts w:hint="default" w:ascii="Times New Roman" w:hAnsi="Times New Roman" w:eastAsia="仿宋" w:cs="Times New Roman"/>
                <w:bCs/>
                <w:color w:val="auto"/>
                <w:sz w:val="21"/>
                <w:szCs w:val="21"/>
                <w:highlight w:val="none"/>
                <w:lang w:eastAsia="zh-CN"/>
              </w:rPr>
              <w:t>，治愈率</w:t>
            </w:r>
            <w:r>
              <w:rPr>
                <w:rFonts w:hint="default" w:ascii="Times New Roman" w:hAnsi="Times New Roman" w:eastAsia="仿宋" w:cs="Times New Roman"/>
                <w:bCs/>
                <w:color w:val="auto"/>
                <w:sz w:val="21"/>
                <w:szCs w:val="21"/>
                <w:highlight w:val="none"/>
                <w:lang w:val="en-US" w:eastAsia="zh-CN"/>
              </w:rPr>
              <w:t>与</w:t>
            </w:r>
            <w:r>
              <w:rPr>
                <w:rFonts w:hint="default" w:ascii="Times New Roman" w:hAnsi="Times New Roman" w:eastAsia="仿宋" w:cs="Times New Roman"/>
                <w:bCs/>
                <w:color w:val="auto"/>
                <w:sz w:val="21"/>
                <w:szCs w:val="21"/>
                <w:highlight w:val="none"/>
                <w:lang w:eastAsia="zh-CN"/>
              </w:rPr>
              <w:t>临床获益权重</w:t>
            </w:r>
            <w:r>
              <w:rPr>
                <w:rFonts w:hint="default" w:ascii="Times New Roman" w:hAnsi="Times New Roman" w:eastAsia="仿宋" w:cs="Times New Roman"/>
                <w:bCs/>
                <w:color w:val="auto"/>
                <w:sz w:val="21"/>
                <w:szCs w:val="21"/>
                <w:highlight w:val="none"/>
                <w:lang w:val="en-US" w:eastAsia="zh-CN"/>
              </w:rPr>
              <w:t>占比</w:t>
            </w:r>
            <w:r>
              <w:rPr>
                <w:rFonts w:hint="default" w:ascii="Times New Roman" w:hAnsi="Times New Roman" w:eastAsia="仿宋" w:cs="Times New Roman"/>
                <w:bCs/>
                <w:color w:val="auto"/>
                <w:sz w:val="21"/>
                <w:szCs w:val="21"/>
                <w:highlight w:val="none"/>
              </w:rPr>
              <w:t>突出的，2</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rPr>
              <w:t>3分；</w:t>
            </w:r>
          </w:p>
          <w:p w14:paraId="13A74E5B">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3.与临床公认治疗药物相比</w:t>
            </w:r>
            <w:r>
              <w:rPr>
                <w:rFonts w:hint="eastAsia" w:eastAsia="仿宋" w:cs="Times New Roman"/>
                <w:bCs/>
                <w:color w:val="auto"/>
                <w:sz w:val="21"/>
                <w:szCs w:val="21"/>
                <w:highlight w:val="none"/>
                <w:lang w:eastAsia="zh-CN"/>
              </w:rPr>
              <w:t>，</w:t>
            </w:r>
            <w:r>
              <w:rPr>
                <w:rFonts w:hint="eastAsia" w:eastAsia="仿宋" w:cs="Times New Roman"/>
                <w:bCs/>
                <w:color w:val="auto"/>
                <w:sz w:val="21"/>
                <w:szCs w:val="21"/>
                <w:highlight w:val="none"/>
                <w:lang w:val="en-US" w:eastAsia="zh-CN"/>
              </w:rPr>
              <w:t>具</w:t>
            </w:r>
            <w:r>
              <w:rPr>
                <w:rFonts w:hint="default" w:ascii="Times New Roman" w:hAnsi="Times New Roman" w:eastAsia="仿宋" w:cs="Times New Roman"/>
                <w:bCs/>
                <w:color w:val="auto"/>
                <w:sz w:val="21"/>
                <w:szCs w:val="21"/>
                <w:highlight w:val="none"/>
              </w:rPr>
              <w:t>有可替代性，1分。</w:t>
            </w:r>
          </w:p>
          <w:p w14:paraId="44F90178">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val="0"/>
                <w:color w:val="auto"/>
                <w:sz w:val="21"/>
                <w:szCs w:val="21"/>
                <w:highlight w:val="none"/>
              </w:rPr>
            </w:pPr>
            <w:r>
              <w:rPr>
                <w:rFonts w:hint="default" w:ascii="Times New Roman" w:hAnsi="Times New Roman" w:eastAsia="仿宋" w:cs="Times New Roman"/>
                <w:b/>
                <w:bCs w:val="0"/>
                <w:color w:val="auto"/>
                <w:sz w:val="21"/>
                <w:szCs w:val="21"/>
                <w:highlight w:val="none"/>
              </w:rPr>
              <w:t>二、具有治疗优势</w:t>
            </w:r>
            <w:r>
              <w:rPr>
                <w:rFonts w:hint="default" w:ascii="Times New Roman" w:hAnsi="Times New Roman" w:eastAsia="仿宋" w:cs="Times New Roman"/>
                <w:b/>
                <w:bCs w:val="0"/>
                <w:color w:val="auto"/>
                <w:sz w:val="21"/>
                <w:szCs w:val="21"/>
                <w:highlight w:val="none"/>
                <w:lang w:eastAsia="zh-CN"/>
              </w:rPr>
              <w:t>，</w:t>
            </w:r>
            <w:r>
              <w:rPr>
                <w:rFonts w:hint="default" w:ascii="Times New Roman" w:hAnsi="Times New Roman" w:eastAsia="仿宋" w:cs="Times New Roman"/>
                <w:b/>
                <w:bCs w:val="0"/>
                <w:color w:val="auto"/>
                <w:sz w:val="21"/>
                <w:szCs w:val="21"/>
                <w:highlight w:val="none"/>
                <w:lang w:val="en-US" w:eastAsia="zh-CN"/>
              </w:rPr>
              <w:t>5</w:t>
            </w:r>
            <w:r>
              <w:rPr>
                <w:rFonts w:hint="default" w:ascii="Times New Roman" w:hAnsi="Times New Roman" w:eastAsia="仿宋" w:cs="Times New Roman"/>
                <w:b/>
                <w:bCs w:val="0"/>
                <w:color w:val="auto"/>
                <w:sz w:val="21"/>
                <w:szCs w:val="21"/>
                <w:highlight w:val="none"/>
              </w:rPr>
              <w:t>分。</w:t>
            </w:r>
          </w:p>
          <w:p w14:paraId="4832AC35">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1.临床疗效显著、特色突出，可改善疾病预后的</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lang w:val="en-US" w:eastAsia="zh-CN"/>
              </w:rPr>
              <w:t>4</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lang w:val="en-US" w:eastAsia="zh-CN"/>
              </w:rPr>
              <w:t>5</w:t>
            </w:r>
            <w:r>
              <w:rPr>
                <w:rFonts w:hint="default" w:ascii="Times New Roman" w:hAnsi="Times New Roman" w:eastAsia="仿宋" w:cs="Times New Roman"/>
                <w:bCs/>
                <w:color w:val="auto"/>
                <w:sz w:val="21"/>
                <w:szCs w:val="21"/>
                <w:highlight w:val="none"/>
              </w:rPr>
              <w:t>分；</w:t>
            </w:r>
          </w:p>
          <w:p w14:paraId="0F029904">
            <w:pPr>
              <w:keepNext w:val="0"/>
              <w:keepLines w:val="0"/>
              <w:pageBreakBefore w:val="0"/>
              <w:widowControl w:val="0"/>
              <w:shd w:val="clea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bCs/>
                <w:color w:val="auto"/>
                <w:sz w:val="21"/>
                <w:szCs w:val="21"/>
                <w:highlight w:val="none"/>
              </w:rPr>
            </w:pPr>
            <w:r>
              <w:rPr>
                <w:rFonts w:hint="default" w:ascii="Times New Roman" w:hAnsi="Times New Roman" w:eastAsia="仿宋" w:cs="Times New Roman"/>
                <w:bCs/>
                <w:color w:val="auto"/>
                <w:sz w:val="21"/>
                <w:szCs w:val="21"/>
                <w:highlight w:val="none"/>
              </w:rPr>
              <w:t>2.临床疗效有优势，改善疾病症状、体征，或提高生活质量的，2</w:t>
            </w:r>
            <w:r>
              <w:rPr>
                <w:rFonts w:hint="default" w:ascii="Times New Roman" w:hAnsi="Times New Roman" w:eastAsia="仿宋" w:cs="Times New Roman"/>
                <w:bCs/>
                <w:color w:val="auto"/>
                <w:sz w:val="21"/>
                <w:szCs w:val="21"/>
                <w:highlight w:val="none"/>
                <w:lang w:eastAsia="zh-CN"/>
              </w:rPr>
              <w:t>～</w:t>
            </w:r>
            <w:r>
              <w:rPr>
                <w:rFonts w:hint="default" w:ascii="Times New Roman" w:hAnsi="Times New Roman" w:eastAsia="仿宋" w:cs="Times New Roman"/>
                <w:bCs/>
                <w:color w:val="auto"/>
                <w:sz w:val="21"/>
                <w:szCs w:val="21"/>
                <w:highlight w:val="none"/>
                <w:lang w:val="en-US" w:eastAsia="zh-CN"/>
              </w:rPr>
              <w:t>3</w:t>
            </w:r>
            <w:r>
              <w:rPr>
                <w:rFonts w:hint="default" w:ascii="Times New Roman" w:hAnsi="Times New Roman" w:eastAsia="仿宋" w:cs="Times New Roman"/>
                <w:bCs/>
                <w:color w:val="auto"/>
                <w:sz w:val="21"/>
                <w:szCs w:val="21"/>
                <w:highlight w:val="none"/>
              </w:rPr>
              <w:t>分；</w:t>
            </w:r>
          </w:p>
          <w:p w14:paraId="3D641531">
            <w:pPr>
              <w:keepNext w:val="0"/>
              <w:keepLines w:val="0"/>
              <w:pageBreakBefore w:val="0"/>
              <w:widowControl w:val="0"/>
              <w:shd w:val="clear"/>
              <w:kinsoku/>
              <w:wordWrap/>
              <w:overflowPunct/>
              <w:topLinePunct w:val="0"/>
              <w:autoSpaceDE/>
              <w:autoSpaceDN/>
              <w:bidi w:val="0"/>
              <w:adjustRightInd/>
              <w:snapToGrid/>
              <w:spacing w:line="280" w:lineRule="exact"/>
              <w:ind w:right="0" w:rightChars="0" w:firstLine="420" w:firstLineChars="200"/>
              <w:jc w:val="both"/>
              <w:textAlignment w:val="auto"/>
              <w:outlineLvl w:val="9"/>
              <w:rPr>
                <w:rFonts w:hint="default" w:ascii="Times New Roman" w:hAnsi="Times New Roman" w:eastAsia="仿宋" w:cs="Times New Roman"/>
                <w:color w:val="auto"/>
                <w:sz w:val="21"/>
                <w:szCs w:val="21"/>
              </w:rPr>
            </w:pPr>
            <w:r>
              <w:rPr>
                <w:rFonts w:hint="default" w:ascii="Times New Roman" w:hAnsi="Times New Roman" w:eastAsia="仿宋" w:cs="Times New Roman"/>
                <w:bCs/>
                <w:color w:val="auto"/>
                <w:sz w:val="21"/>
                <w:szCs w:val="21"/>
                <w:highlight w:val="none"/>
              </w:rPr>
              <w:t>3.临床疗效与现有药物相当，但具有药物经济学优势，1分。</w:t>
            </w:r>
          </w:p>
        </w:tc>
      </w:tr>
      <w:tr w14:paraId="72C59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4434D0CE">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1E921CF6">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color w:val="auto"/>
                <w:kern w:val="0"/>
                <w:sz w:val="21"/>
                <w:szCs w:val="21"/>
                <w:highlight w:val="none"/>
                <w:lang w:val="en-US" w:eastAsia="zh-CN" w:bidi="ar"/>
              </w:rPr>
            </w:pPr>
            <w:r>
              <w:rPr>
                <w:rFonts w:hint="default" w:ascii="Times New Roman" w:hAnsi="Times New Roman" w:eastAsia="仿宋" w:cs="Times New Roman"/>
                <w:color w:val="auto"/>
                <w:kern w:val="0"/>
                <w:sz w:val="21"/>
                <w:szCs w:val="21"/>
                <w:highlight w:val="none"/>
                <w:lang w:bidi="ar"/>
              </w:rPr>
              <w:t>（3）</w:t>
            </w:r>
            <w:r>
              <w:rPr>
                <w:rFonts w:hint="default" w:ascii="Times New Roman" w:hAnsi="Times New Roman" w:eastAsia="仿宋" w:cs="Times New Roman"/>
                <w:b/>
                <w:bCs/>
                <w:color w:val="auto"/>
                <w:kern w:val="0"/>
                <w:sz w:val="21"/>
                <w:szCs w:val="21"/>
                <w:highlight w:val="none"/>
                <w:lang w:val="en-US" w:eastAsia="zh-CN" w:bidi="ar"/>
              </w:rPr>
              <w:t>燕赵中医药特色：</w:t>
            </w:r>
            <w:r>
              <w:rPr>
                <w:rFonts w:hint="default" w:ascii="Times New Roman" w:hAnsi="Times New Roman" w:eastAsia="仿宋" w:cs="Times New Roman"/>
                <w:color w:val="auto"/>
                <w:kern w:val="0"/>
                <w:sz w:val="21"/>
                <w:szCs w:val="21"/>
                <w:highlight w:val="none"/>
                <w:lang w:bidi="ar"/>
              </w:rPr>
              <w:t>制剂基于燕赵中医学术传承</w:t>
            </w:r>
            <w:r>
              <w:rPr>
                <w:rFonts w:hint="default" w:ascii="Times New Roman" w:hAnsi="Times New Roman" w:eastAsia="仿宋" w:cs="Times New Roman"/>
                <w:color w:val="auto"/>
                <w:kern w:val="0"/>
                <w:sz w:val="21"/>
                <w:szCs w:val="21"/>
                <w:highlight w:val="none"/>
                <w:lang w:val="en-US" w:eastAsia="zh-CN" w:bidi="ar"/>
              </w:rPr>
              <w:t>/</w:t>
            </w:r>
            <w:r>
              <w:rPr>
                <w:rFonts w:hint="default" w:ascii="Times New Roman" w:hAnsi="Times New Roman" w:eastAsia="仿宋" w:cs="Times New Roman"/>
                <w:color w:val="auto"/>
                <w:kern w:val="0"/>
                <w:sz w:val="21"/>
                <w:szCs w:val="21"/>
                <w:highlight w:val="none"/>
                <w:lang w:bidi="ar"/>
              </w:rPr>
              <w:t>学术流派（易水学派、河间学派、络病理论等），</w:t>
            </w:r>
            <w:r>
              <w:rPr>
                <w:rFonts w:hint="default" w:ascii="Times New Roman" w:hAnsi="Times New Roman" w:eastAsia="仿宋" w:cs="Times New Roman"/>
                <w:color w:val="auto"/>
                <w:kern w:val="0"/>
                <w:sz w:val="21"/>
                <w:szCs w:val="21"/>
                <w:highlight w:val="none"/>
                <w:lang w:val="en-US" w:eastAsia="zh-CN" w:bidi="ar"/>
              </w:rPr>
              <w:t>处方药味</w:t>
            </w:r>
            <w:r>
              <w:rPr>
                <w:rFonts w:hint="default" w:ascii="Times New Roman" w:hAnsi="Times New Roman" w:eastAsia="仿宋" w:cs="Times New Roman"/>
                <w:color w:val="auto"/>
                <w:sz w:val="21"/>
                <w:szCs w:val="21"/>
                <w:highlight w:val="none"/>
                <w:u w:val="none"/>
                <w:lang w:val="en-US" w:eastAsia="zh-CN"/>
              </w:rPr>
              <w:t>属于</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特色药材或使用</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特色炮制方法。</w:t>
            </w:r>
          </w:p>
        </w:tc>
        <w:tc>
          <w:tcPr>
            <w:tcW w:w="1040" w:type="dxa"/>
            <w:noWrap w:val="0"/>
            <w:vAlign w:val="center"/>
          </w:tcPr>
          <w:p w14:paraId="57719F2B">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5</w:t>
            </w:r>
          </w:p>
        </w:tc>
        <w:tc>
          <w:tcPr>
            <w:tcW w:w="7114" w:type="dxa"/>
            <w:noWrap w:val="0"/>
            <w:vAlign w:val="center"/>
          </w:tcPr>
          <w:p w14:paraId="4EE7A01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一、制剂基于燕赵中医学术传承</w:t>
            </w:r>
            <w:r>
              <w:rPr>
                <w:rFonts w:hint="default" w:ascii="Times New Roman" w:hAnsi="Times New Roman" w:eastAsia="仿宋" w:cs="Times New Roman"/>
                <w:b/>
                <w:bCs/>
                <w:color w:val="auto"/>
                <w:sz w:val="21"/>
                <w:szCs w:val="21"/>
                <w:highlight w:val="none"/>
                <w:lang w:val="en-US" w:eastAsia="zh-CN"/>
              </w:rPr>
              <w:t>/</w:t>
            </w:r>
            <w:r>
              <w:rPr>
                <w:rFonts w:hint="default" w:ascii="Times New Roman" w:hAnsi="Times New Roman" w:eastAsia="仿宋" w:cs="Times New Roman"/>
                <w:b/>
                <w:bCs/>
                <w:color w:val="auto"/>
                <w:sz w:val="21"/>
                <w:szCs w:val="21"/>
                <w:highlight w:val="none"/>
              </w:rPr>
              <w:t>学术流派</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3</w:t>
            </w:r>
            <w:r>
              <w:rPr>
                <w:rFonts w:hint="default" w:ascii="Times New Roman" w:hAnsi="Times New Roman" w:eastAsia="仿宋" w:cs="Times New Roman"/>
                <w:b/>
                <w:bCs/>
                <w:color w:val="auto"/>
                <w:sz w:val="21"/>
                <w:szCs w:val="21"/>
                <w:highlight w:val="none"/>
              </w:rPr>
              <w:t>分。</w:t>
            </w:r>
          </w:p>
          <w:p w14:paraId="1A90366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u w:val="none"/>
                <w:lang w:val="en-US" w:eastAsia="zh-CN"/>
              </w:rPr>
            </w:pPr>
            <w:r>
              <w:rPr>
                <w:rFonts w:hint="default" w:ascii="Times New Roman" w:hAnsi="Times New Roman" w:eastAsia="仿宋" w:cs="Times New Roman"/>
                <w:color w:val="auto"/>
                <w:sz w:val="21"/>
                <w:szCs w:val="21"/>
                <w:highlight w:val="none"/>
                <w:u w:val="none"/>
                <w:lang w:val="en-US" w:eastAsia="zh-CN"/>
              </w:rPr>
              <w:t>制剂基于燕赵中医学术传承/学术流派中所出的药方，1～3分。</w:t>
            </w:r>
          </w:p>
          <w:p w14:paraId="47B86921">
            <w:pPr>
              <w:keepNext w:val="0"/>
              <w:keepLines w:val="0"/>
              <w:pageBreakBefore w:val="0"/>
              <w:widowControl w:val="0"/>
              <w:numPr>
                <w:ilvl w:val="0"/>
                <w:numId w:val="1"/>
              </w:numPr>
              <w:kinsoku/>
              <w:wordWrap/>
              <w:overflowPunct/>
              <w:topLinePunct w:val="0"/>
              <w:autoSpaceDE/>
              <w:autoSpaceDN/>
              <w:bidi w:val="0"/>
              <w:adjustRightInd/>
              <w:snapToGrid/>
              <w:spacing w:line="280" w:lineRule="exact"/>
              <w:ind w:left="0" w:leftChars="0" w:right="0" w:rightChars="0" w:firstLine="422" w:firstLineChars="200"/>
              <w:jc w:val="both"/>
              <w:textAlignment w:val="auto"/>
              <w:outlineLvl w:val="9"/>
              <w:rPr>
                <w:rFonts w:hint="default" w:ascii="Times New Roman" w:hAnsi="Times New Roman" w:eastAsia="仿宋" w:cs="Times New Roman"/>
                <w:b/>
                <w:bCs/>
                <w:color w:val="auto"/>
                <w:sz w:val="21"/>
                <w:szCs w:val="21"/>
                <w:highlight w:val="none"/>
                <w:lang w:val="en-US" w:eastAsia="zh-CN"/>
              </w:rPr>
            </w:pPr>
            <w:r>
              <w:rPr>
                <w:rFonts w:hint="eastAsia" w:eastAsia="仿宋" w:cs="Times New Roman"/>
                <w:b/>
                <w:bCs/>
                <w:color w:val="auto"/>
                <w:sz w:val="21"/>
                <w:szCs w:val="21"/>
                <w:highlight w:val="none"/>
                <w:lang w:val="en-US" w:eastAsia="zh-CN"/>
              </w:rPr>
              <w:t>我省</w:t>
            </w:r>
            <w:r>
              <w:rPr>
                <w:rFonts w:hint="default" w:ascii="Times New Roman" w:hAnsi="Times New Roman" w:eastAsia="仿宋" w:cs="Times New Roman"/>
                <w:b/>
                <w:bCs/>
                <w:color w:val="auto"/>
                <w:sz w:val="21"/>
                <w:szCs w:val="21"/>
                <w:highlight w:val="none"/>
                <w:lang w:val="en-US" w:eastAsia="zh-CN"/>
              </w:rPr>
              <w:t>特色药味，2分。</w:t>
            </w:r>
          </w:p>
          <w:p w14:paraId="1D4C4DC5">
            <w:pPr>
              <w:keepNext w:val="0"/>
              <w:keepLines w:val="0"/>
              <w:pageBreakBefore w:val="0"/>
              <w:widowControl w:val="0"/>
              <w:numPr>
                <w:ilvl w:val="0"/>
                <w:numId w:val="2"/>
              </w:numPr>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9"/>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u w:val="none"/>
                <w:lang w:val="en-US" w:eastAsia="zh-CN"/>
              </w:rPr>
              <w:t>处方中含有2味及以上药味属于</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特色药材或使用</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特色炮制方法的，2分；</w:t>
            </w:r>
          </w:p>
          <w:p w14:paraId="08608830">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outlineLvl w:val="9"/>
              <w:rPr>
                <w:rFonts w:hint="default" w:ascii="Times New Roman" w:hAnsi="Times New Roman" w:eastAsia="仿宋" w:cs="Times New Roman"/>
                <w:color w:val="auto"/>
                <w:sz w:val="21"/>
                <w:szCs w:val="21"/>
              </w:rPr>
            </w:pPr>
            <w:r>
              <w:rPr>
                <w:rFonts w:hint="default" w:ascii="Times New Roman" w:hAnsi="Times New Roman" w:eastAsia="仿宋" w:cs="Times New Roman"/>
                <w:color w:val="auto"/>
                <w:sz w:val="21"/>
                <w:szCs w:val="21"/>
                <w:highlight w:val="none"/>
                <w:u w:val="none"/>
                <w:lang w:val="en-US" w:eastAsia="zh-CN"/>
              </w:rPr>
              <w:t>2. 处方中含有1味药味属于</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特色药材或使用</w:t>
            </w:r>
            <w:r>
              <w:rPr>
                <w:rFonts w:hint="eastAsia" w:eastAsia="仿宋" w:cs="Times New Roman"/>
                <w:color w:val="auto"/>
                <w:sz w:val="21"/>
                <w:szCs w:val="21"/>
                <w:highlight w:val="none"/>
                <w:u w:val="none"/>
                <w:lang w:val="en-US" w:eastAsia="zh-CN"/>
              </w:rPr>
              <w:t>我省</w:t>
            </w:r>
            <w:r>
              <w:rPr>
                <w:rFonts w:hint="default" w:ascii="Times New Roman" w:hAnsi="Times New Roman" w:eastAsia="仿宋" w:cs="Times New Roman"/>
                <w:color w:val="auto"/>
                <w:sz w:val="21"/>
                <w:szCs w:val="21"/>
                <w:highlight w:val="none"/>
                <w:u w:val="none"/>
                <w:lang w:val="en-US" w:eastAsia="zh-CN"/>
              </w:rPr>
              <w:t>特色炮制方法的，1分。</w:t>
            </w:r>
          </w:p>
        </w:tc>
      </w:tr>
      <w:tr w14:paraId="54C7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605EEB36">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409E792F">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color w:val="auto"/>
                <w:sz w:val="21"/>
                <w:szCs w:val="21"/>
                <w:highlight w:val="yellow"/>
              </w:rPr>
            </w:pPr>
            <w:r>
              <w:rPr>
                <w:rFonts w:hint="default" w:ascii="Times New Roman" w:hAnsi="Times New Roman" w:eastAsia="仿宋" w:cs="Times New Roman"/>
                <w:color w:val="auto"/>
                <w:kern w:val="0"/>
                <w:sz w:val="21"/>
                <w:szCs w:val="21"/>
                <w:highlight w:val="none"/>
                <w:lang w:bidi="ar"/>
              </w:rPr>
              <w:t>（4）</w:t>
            </w:r>
            <w:r>
              <w:rPr>
                <w:rFonts w:hint="default" w:ascii="Times New Roman" w:hAnsi="Times New Roman" w:eastAsia="仿宋" w:cs="Times New Roman"/>
                <w:b/>
                <w:bCs/>
                <w:color w:val="auto"/>
                <w:kern w:val="0"/>
                <w:sz w:val="21"/>
                <w:szCs w:val="21"/>
                <w:highlight w:val="none"/>
                <w:lang w:val="en-US" w:eastAsia="zh-CN" w:bidi="ar"/>
              </w:rPr>
              <w:t>临床使用历</w:t>
            </w:r>
            <w:r>
              <w:rPr>
                <w:rFonts w:hint="default" w:ascii="Times New Roman" w:hAnsi="Times New Roman" w:eastAsia="仿宋" w:cs="Times New Roman"/>
                <w:b/>
                <w:bCs/>
                <w:strike w:val="0"/>
                <w:dstrike w:val="0"/>
                <w:color w:val="auto"/>
                <w:kern w:val="0"/>
                <w:sz w:val="21"/>
                <w:szCs w:val="21"/>
                <w:highlight w:val="none"/>
                <w:lang w:val="en-US" w:eastAsia="zh-CN" w:bidi="ar"/>
              </w:rPr>
              <w:t>史：</w:t>
            </w:r>
            <w:r>
              <w:rPr>
                <w:rFonts w:hint="default" w:ascii="Times New Roman" w:hAnsi="Times New Roman" w:eastAsia="仿宋" w:cs="Times New Roman"/>
                <w:strike w:val="0"/>
                <w:dstrike w:val="0"/>
                <w:color w:val="auto"/>
                <w:kern w:val="0"/>
                <w:sz w:val="21"/>
                <w:szCs w:val="21"/>
                <w:highlight w:val="none"/>
                <w:lang w:bidi="ar"/>
              </w:rPr>
              <w:t>具有</w:t>
            </w:r>
            <w:r>
              <w:rPr>
                <w:rFonts w:hint="default" w:ascii="Times New Roman" w:hAnsi="Times New Roman" w:eastAsia="仿宋" w:cs="Times New Roman"/>
                <w:strike w:val="0"/>
                <w:dstrike w:val="0"/>
                <w:color w:val="auto"/>
                <w:kern w:val="0"/>
                <w:sz w:val="21"/>
                <w:szCs w:val="21"/>
                <w:highlight w:val="none"/>
                <w:lang w:val="en-US" w:eastAsia="zh-CN" w:bidi="ar"/>
              </w:rPr>
              <w:t>3</w:t>
            </w:r>
            <w:r>
              <w:rPr>
                <w:rFonts w:hint="default" w:ascii="Times New Roman" w:hAnsi="Times New Roman" w:eastAsia="仿宋" w:cs="Times New Roman"/>
                <w:strike w:val="0"/>
                <w:dstrike w:val="0"/>
                <w:color w:val="auto"/>
                <w:kern w:val="0"/>
                <w:sz w:val="21"/>
                <w:szCs w:val="21"/>
                <w:highlight w:val="none"/>
                <w:lang w:bidi="ar"/>
              </w:rPr>
              <w:t>年或以上的临床使用历史</w:t>
            </w:r>
            <w:r>
              <w:rPr>
                <w:rFonts w:hint="eastAsia" w:eastAsia="仿宋" w:cs="Times New Roman"/>
                <w:strike w:val="0"/>
                <w:dstrike w:val="0"/>
                <w:color w:val="auto"/>
                <w:kern w:val="0"/>
                <w:sz w:val="21"/>
                <w:szCs w:val="21"/>
                <w:highlight w:val="none"/>
                <w:lang w:eastAsia="zh-CN" w:bidi="ar"/>
              </w:rPr>
              <w:t>，</w:t>
            </w:r>
            <w:r>
              <w:rPr>
                <w:rFonts w:hint="eastAsia" w:eastAsia="仿宋" w:cs="Times New Roman"/>
                <w:strike w:val="0"/>
                <w:dstrike w:val="0"/>
                <w:color w:val="auto"/>
                <w:kern w:val="0"/>
                <w:sz w:val="21"/>
                <w:szCs w:val="21"/>
                <w:highlight w:val="none"/>
                <w:lang w:val="en-US" w:eastAsia="zh-CN" w:bidi="ar"/>
              </w:rPr>
              <w:t>具</w:t>
            </w:r>
            <w:r>
              <w:rPr>
                <w:rFonts w:hint="default" w:ascii="Times New Roman" w:hAnsi="Times New Roman" w:eastAsia="仿宋" w:cs="Times New Roman"/>
                <w:strike w:val="0"/>
                <w:dstrike w:val="0"/>
                <w:color w:val="auto"/>
                <w:kern w:val="0"/>
                <w:sz w:val="21"/>
                <w:szCs w:val="21"/>
                <w:highlight w:val="none"/>
                <w:lang w:bidi="ar"/>
              </w:rPr>
              <w:t>有相关历史资料</w:t>
            </w:r>
            <w:r>
              <w:rPr>
                <w:rFonts w:hint="default" w:ascii="Times New Roman" w:hAnsi="Times New Roman" w:eastAsia="仿宋" w:cs="Times New Roman"/>
                <w:strike w:val="0"/>
                <w:dstrike w:val="0"/>
                <w:color w:val="auto"/>
                <w:kern w:val="0"/>
                <w:sz w:val="21"/>
                <w:szCs w:val="21"/>
                <w:highlight w:val="none"/>
                <w:lang w:eastAsia="zh-CN" w:bidi="ar"/>
              </w:rPr>
              <w:t>。</w:t>
            </w:r>
          </w:p>
        </w:tc>
        <w:tc>
          <w:tcPr>
            <w:tcW w:w="1040" w:type="dxa"/>
            <w:noWrap w:val="0"/>
            <w:vAlign w:val="center"/>
          </w:tcPr>
          <w:p w14:paraId="5B540979">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bidi="ar"/>
              </w:rPr>
              <w:t>10</w:t>
            </w:r>
          </w:p>
        </w:tc>
        <w:tc>
          <w:tcPr>
            <w:tcW w:w="7114" w:type="dxa"/>
            <w:noWrap w:val="0"/>
            <w:vAlign w:val="center"/>
          </w:tcPr>
          <w:p w14:paraId="3E3E2C4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2" w:firstLineChars="20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sz w:val="21"/>
                <w:szCs w:val="21"/>
                <w:highlight w:val="none"/>
              </w:rPr>
              <w:t>临床使用历史：</w:t>
            </w:r>
            <w:r>
              <w:rPr>
                <w:rFonts w:hint="default" w:ascii="Times New Roman" w:hAnsi="Times New Roman" w:eastAsia="仿宋" w:cs="Times New Roman"/>
                <w:color w:val="auto"/>
                <w:sz w:val="21"/>
                <w:szCs w:val="21"/>
                <w:highlight w:val="none"/>
              </w:rPr>
              <w:t>1. 使用</w:t>
            </w:r>
            <w:r>
              <w:rPr>
                <w:rFonts w:hint="default" w:ascii="Times New Roman" w:hAnsi="Times New Roman" w:eastAsia="仿宋" w:cs="Times New Roman"/>
                <w:color w:val="auto"/>
                <w:sz w:val="21"/>
                <w:szCs w:val="21"/>
                <w:highlight w:val="none"/>
                <w:lang w:val="en-US" w:eastAsia="zh-CN"/>
              </w:rPr>
              <w:t xml:space="preserve">历史 </w:t>
            </w:r>
            <w:r>
              <w:rPr>
                <w:rFonts w:hint="default" w:ascii="Times New Roman" w:hAnsi="Times New Roman" w:eastAsia="仿宋" w:cs="Times New Roman"/>
                <w:b/>
                <w:bCs/>
                <w:color w:val="auto"/>
                <w:sz w:val="21"/>
                <w:szCs w:val="21"/>
                <w:highlight w:val="none"/>
                <w:shd w:val="clear"/>
              </w:rPr>
              <w:t>≥</w:t>
            </w:r>
            <w:r>
              <w:rPr>
                <w:rFonts w:hint="default" w:ascii="Times New Roman" w:hAnsi="Times New Roman" w:eastAsia="仿宋" w:cs="Times New Roman"/>
                <w:b/>
                <w:bCs/>
                <w:color w:val="auto"/>
                <w:sz w:val="21"/>
                <w:szCs w:val="21"/>
                <w:highlight w:val="none"/>
                <w:shd w:val="clear"/>
                <w:lang w:val="en-US" w:eastAsia="zh-CN"/>
              </w:rPr>
              <w:t xml:space="preserve"> </w:t>
            </w:r>
            <w:r>
              <w:rPr>
                <w:rFonts w:hint="default" w:ascii="Times New Roman" w:hAnsi="Times New Roman" w:eastAsia="仿宋" w:cs="Times New Roman"/>
                <w:color w:val="auto"/>
                <w:sz w:val="21"/>
                <w:szCs w:val="21"/>
                <w:highlight w:val="none"/>
                <w:lang w:val="en-US" w:eastAsia="zh-CN"/>
              </w:rPr>
              <w:t>10</w:t>
            </w:r>
            <w:r>
              <w:rPr>
                <w:rFonts w:hint="default" w:ascii="Times New Roman" w:hAnsi="Times New Roman" w:eastAsia="仿宋" w:cs="Times New Roman"/>
                <w:color w:val="auto"/>
                <w:sz w:val="21"/>
                <w:szCs w:val="21"/>
                <w:highlight w:val="none"/>
              </w:rPr>
              <w:t>年，</w:t>
            </w:r>
            <w:r>
              <w:rPr>
                <w:rFonts w:hint="default" w:ascii="Times New Roman" w:hAnsi="Times New Roman" w:eastAsia="仿宋" w:cs="Times New Roman"/>
                <w:color w:val="auto"/>
                <w:sz w:val="21"/>
                <w:szCs w:val="21"/>
                <w:highlight w:val="none"/>
                <w:lang w:val="en-US" w:eastAsia="zh-CN"/>
              </w:rPr>
              <w:t>10</w:t>
            </w:r>
            <w:r>
              <w:rPr>
                <w:rFonts w:hint="default" w:ascii="Times New Roman" w:hAnsi="Times New Roman" w:eastAsia="仿宋" w:cs="Times New Roman"/>
                <w:color w:val="auto"/>
                <w:sz w:val="21"/>
                <w:szCs w:val="21"/>
                <w:highlight w:val="none"/>
              </w:rPr>
              <w:t>分；</w:t>
            </w:r>
          </w:p>
          <w:p w14:paraId="663864D3">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1890" w:firstLineChars="90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 使用</w:t>
            </w:r>
            <w:r>
              <w:rPr>
                <w:rFonts w:hint="default" w:ascii="Times New Roman" w:hAnsi="Times New Roman" w:eastAsia="仿宋" w:cs="Times New Roman"/>
                <w:color w:val="auto"/>
                <w:sz w:val="21"/>
                <w:szCs w:val="21"/>
                <w:highlight w:val="none"/>
                <w:lang w:val="en-US" w:eastAsia="zh-CN"/>
              </w:rPr>
              <w:t>历史7～9</w:t>
            </w:r>
            <w:r>
              <w:rPr>
                <w:rFonts w:hint="default" w:ascii="Times New Roman" w:hAnsi="Times New Roman" w:eastAsia="仿宋" w:cs="Times New Roman"/>
                <w:color w:val="auto"/>
                <w:sz w:val="21"/>
                <w:szCs w:val="21"/>
                <w:highlight w:val="none"/>
              </w:rPr>
              <w:t>年，</w:t>
            </w:r>
            <w:r>
              <w:rPr>
                <w:rFonts w:hint="default" w:ascii="Times New Roman" w:hAnsi="Times New Roman" w:eastAsia="仿宋" w:cs="Times New Roman"/>
                <w:color w:val="auto"/>
                <w:sz w:val="21"/>
                <w:szCs w:val="21"/>
                <w:highlight w:val="none"/>
                <w:lang w:val="en-US" w:eastAsia="zh-CN"/>
              </w:rPr>
              <w:t>8</w:t>
            </w:r>
            <w:r>
              <w:rPr>
                <w:rFonts w:hint="default" w:ascii="Times New Roman" w:hAnsi="Times New Roman" w:eastAsia="仿宋" w:cs="Times New Roman"/>
                <w:color w:val="auto"/>
                <w:sz w:val="21"/>
                <w:szCs w:val="21"/>
                <w:highlight w:val="none"/>
              </w:rPr>
              <w:t>分；</w:t>
            </w:r>
          </w:p>
          <w:p w14:paraId="037DDBB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1890" w:firstLineChars="900"/>
              <w:jc w:val="both"/>
              <w:textAlignment w:val="center"/>
              <w:outlineLvl w:val="9"/>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 使用</w:t>
            </w:r>
            <w:r>
              <w:rPr>
                <w:rFonts w:hint="default" w:ascii="Times New Roman" w:hAnsi="Times New Roman" w:eastAsia="仿宋" w:cs="Times New Roman"/>
                <w:color w:val="auto"/>
                <w:sz w:val="21"/>
                <w:szCs w:val="21"/>
                <w:highlight w:val="none"/>
                <w:lang w:val="en-US" w:eastAsia="zh-CN"/>
              </w:rPr>
              <w:t>历史3～6</w:t>
            </w:r>
            <w:r>
              <w:rPr>
                <w:rFonts w:hint="default" w:ascii="Times New Roman" w:hAnsi="Times New Roman" w:eastAsia="仿宋" w:cs="Times New Roman"/>
                <w:color w:val="auto"/>
                <w:sz w:val="21"/>
                <w:szCs w:val="21"/>
                <w:highlight w:val="none"/>
              </w:rPr>
              <w:t>年，</w:t>
            </w:r>
            <w:r>
              <w:rPr>
                <w:rFonts w:hint="default" w:ascii="Times New Roman" w:hAnsi="Times New Roman" w:eastAsia="仿宋" w:cs="Times New Roman"/>
                <w:color w:val="auto"/>
                <w:sz w:val="21"/>
                <w:szCs w:val="21"/>
                <w:highlight w:val="none"/>
                <w:lang w:val="en-US" w:eastAsia="zh-CN"/>
              </w:rPr>
              <w:t>6</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tc>
      </w:tr>
      <w:tr w14:paraId="17B81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0" w:hRule="atLeast"/>
          <w:jc w:val="center"/>
        </w:trPr>
        <w:tc>
          <w:tcPr>
            <w:tcW w:w="1897" w:type="dxa"/>
            <w:vMerge w:val="continue"/>
            <w:noWrap w:val="0"/>
            <w:vAlign w:val="center"/>
          </w:tcPr>
          <w:p w14:paraId="0E93EC6B">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1FE6E601">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（5）</w:t>
            </w:r>
            <w:r>
              <w:rPr>
                <w:rFonts w:hint="default" w:ascii="Times New Roman" w:hAnsi="Times New Roman" w:eastAsia="仿宋" w:cs="Times New Roman"/>
                <w:b/>
                <w:bCs/>
                <w:color w:val="auto"/>
                <w:kern w:val="0"/>
                <w:sz w:val="21"/>
                <w:szCs w:val="21"/>
                <w:highlight w:val="none"/>
                <w:lang w:val="en-US" w:eastAsia="zh-CN" w:bidi="ar"/>
              </w:rPr>
              <w:t>临床用量情况：</w:t>
            </w:r>
            <w:r>
              <w:rPr>
                <w:rFonts w:hint="default" w:ascii="Times New Roman" w:hAnsi="Times New Roman" w:eastAsia="仿宋" w:cs="Times New Roman"/>
                <w:color w:val="auto"/>
                <w:kern w:val="0"/>
                <w:sz w:val="21"/>
                <w:szCs w:val="21"/>
                <w:highlight w:val="none"/>
                <w:lang w:bidi="ar"/>
              </w:rPr>
              <w:t>临床使用量大。近</w:t>
            </w:r>
            <w:r>
              <w:rPr>
                <w:rFonts w:hint="default" w:ascii="Times New Roman" w:hAnsi="Times New Roman" w:eastAsia="仿宋" w:cs="Times New Roman"/>
                <w:color w:val="auto"/>
                <w:kern w:val="0"/>
                <w:sz w:val="21"/>
                <w:szCs w:val="21"/>
                <w:highlight w:val="none"/>
                <w:lang w:val="en-US" w:eastAsia="zh-CN" w:bidi="ar"/>
              </w:rPr>
              <w:t>3</w:t>
            </w:r>
            <w:r>
              <w:rPr>
                <w:rFonts w:hint="default" w:ascii="Times New Roman" w:hAnsi="Times New Roman" w:eastAsia="仿宋" w:cs="Times New Roman"/>
                <w:color w:val="auto"/>
                <w:kern w:val="0"/>
                <w:sz w:val="21"/>
                <w:szCs w:val="21"/>
                <w:highlight w:val="none"/>
                <w:lang w:bidi="ar"/>
              </w:rPr>
              <w:t>年内使用总量应超过</w:t>
            </w:r>
            <w:r>
              <w:rPr>
                <w:rFonts w:hint="default" w:ascii="Times New Roman" w:hAnsi="Times New Roman" w:eastAsia="仿宋" w:cs="Times New Roman"/>
                <w:color w:val="auto"/>
                <w:kern w:val="0"/>
                <w:sz w:val="21"/>
                <w:szCs w:val="21"/>
                <w:highlight w:val="none"/>
                <w:lang w:val="en-US" w:eastAsia="zh-CN" w:bidi="ar"/>
              </w:rPr>
              <w:t>5000</w:t>
            </w:r>
            <w:r>
              <w:rPr>
                <w:rFonts w:hint="default" w:ascii="Times New Roman" w:hAnsi="Times New Roman" w:eastAsia="仿宋" w:cs="Times New Roman"/>
                <w:color w:val="auto"/>
                <w:kern w:val="0"/>
                <w:sz w:val="21"/>
                <w:szCs w:val="21"/>
                <w:highlight w:val="none"/>
                <w:lang w:bidi="ar"/>
              </w:rPr>
              <w:t>个销售包装单位，且单年度生产及使用量应超过</w:t>
            </w:r>
            <w:r>
              <w:rPr>
                <w:rFonts w:hint="default" w:ascii="Times New Roman" w:hAnsi="Times New Roman" w:eastAsia="仿宋" w:cs="Times New Roman"/>
                <w:color w:val="auto"/>
                <w:kern w:val="0"/>
                <w:sz w:val="21"/>
                <w:szCs w:val="21"/>
                <w:highlight w:val="none"/>
                <w:lang w:val="en-US" w:eastAsia="zh-CN" w:bidi="ar"/>
              </w:rPr>
              <w:t>1000</w:t>
            </w:r>
            <w:r>
              <w:rPr>
                <w:rFonts w:hint="default" w:ascii="Times New Roman" w:hAnsi="Times New Roman" w:eastAsia="仿宋" w:cs="Times New Roman"/>
                <w:color w:val="auto"/>
                <w:kern w:val="0"/>
                <w:sz w:val="21"/>
                <w:szCs w:val="21"/>
                <w:highlight w:val="none"/>
                <w:lang w:bidi="ar"/>
              </w:rPr>
              <w:t>个销售包装单位</w:t>
            </w:r>
            <w:r>
              <w:rPr>
                <w:rFonts w:hint="default" w:ascii="Times New Roman" w:hAnsi="Times New Roman" w:eastAsia="仿宋" w:cs="Times New Roman"/>
                <w:color w:val="auto"/>
                <w:kern w:val="0"/>
                <w:sz w:val="21"/>
                <w:szCs w:val="21"/>
                <w:highlight w:val="none"/>
                <w:lang w:eastAsia="zh-CN" w:bidi="ar"/>
              </w:rPr>
              <w:t>。</w:t>
            </w:r>
          </w:p>
        </w:tc>
        <w:tc>
          <w:tcPr>
            <w:tcW w:w="1040" w:type="dxa"/>
            <w:noWrap w:val="0"/>
            <w:vAlign w:val="center"/>
          </w:tcPr>
          <w:p w14:paraId="4355256F">
            <w:pPr>
              <w:keepNext w:val="0"/>
              <w:keepLines w:val="0"/>
              <w:pageBreakBefore w:val="0"/>
              <w:widowControl w:val="0"/>
              <w:kinsoku/>
              <w:wordWrap/>
              <w:overflowPunct/>
              <w:topLinePunct w:val="0"/>
              <w:autoSpaceDE/>
              <w:autoSpaceDN/>
              <w:bidi w:val="0"/>
              <w:adjustRightInd/>
              <w:snapToGrid/>
              <w:spacing w:line="260" w:lineRule="exact"/>
              <w:ind w:left="0" w:leftChars="0" w:right="0" w:rightChars="0"/>
              <w:jc w:val="both"/>
              <w:textAlignment w:val="center"/>
              <w:outlineLvl w:val="9"/>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kern w:val="0"/>
                <w:sz w:val="21"/>
                <w:szCs w:val="21"/>
                <w:highlight w:val="none"/>
                <w:lang w:bidi="ar"/>
              </w:rPr>
              <w:t>10</w:t>
            </w:r>
          </w:p>
        </w:tc>
        <w:tc>
          <w:tcPr>
            <w:tcW w:w="7114" w:type="dxa"/>
            <w:noWrap w:val="0"/>
            <w:vAlign w:val="center"/>
          </w:tcPr>
          <w:p w14:paraId="7592B26F">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2" w:firstLineChars="20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sz w:val="21"/>
                <w:szCs w:val="21"/>
                <w:highlight w:val="none"/>
                <w:lang w:val="en-US" w:eastAsia="zh-CN"/>
              </w:rPr>
              <w:t>3</w:t>
            </w:r>
            <w:r>
              <w:rPr>
                <w:rFonts w:hint="default" w:ascii="Times New Roman" w:hAnsi="Times New Roman" w:eastAsia="仿宋" w:cs="Times New Roman"/>
                <w:b/>
                <w:bCs/>
                <w:color w:val="auto"/>
                <w:sz w:val="21"/>
                <w:szCs w:val="21"/>
                <w:highlight w:val="none"/>
              </w:rPr>
              <w:t>年使用总量：</w:t>
            </w:r>
            <w:r>
              <w:rPr>
                <w:rFonts w:hint="default" w:ascii="Times New Roman" w:hAnsi="Times New Roman" w:eastAsia="仿宋" w:cs="Times New Roman"/>
                <w:color w:val="auto"/>
                <w:sz w:val="21"/>
                <w:szCs w:val="21"/>
                <w:highlight w:val="none"/>
              </w:rPr>
              <w:t>1.累计</w:t>
            </w:r>
            <w:r>
              <w:rPr>
                <w:rFonts w:hint="default" w:ascii="Times New Roman" w:hAnsi="Times New Roman" w:eastAsia="仿宋" w:cs="Times New Roman"/>
                <w:color w:val="auto"/>
                <w:sz w:val="21"/>
                <w:szCs w:val="21"/>
                <w:highlight w:val="none"/>
                <w:lang w:val="en-US" w:eastAsia="zh-CN"/>
              </w:rPr>
              <w:t xml:space="preserve"> </w:t>
            </w:r>
            <w:r>
              <w:rPr>
                <w:rFonts w:hint="default" w:ascii="Times New Roman" w:hAnsi="Times New Roman" w:eastAsia="仿宋" w:cs="Times New Roman"/>
                <w:b/>
                <w:bCs/>
                <w:color w:val="auto"/>
                <w:sz w:val="21"/>
                <w:szCs w:val="21"/>
                <w:highlight w:val="none"/>
                <w:shd w:val="clear"/>
              </w:rPr>
              <w:t>≥</w:t>
            </w:r>
            <w:r>
              <w:rPr>
                <w:rFonts w:hint="default" w:ascii="Times New Roman" w:hAnsi="Times New Roman" w:eastAsia="仿宋" w:cs="Times New Roman"/>
                <w:b/>
                <w:bCs/>
                <w:color w:val="auto"/>
                <w:sz w:val="21"/>
                <w:szCs w:val="21"/>
                <w:highlight w:val="none"/>
                <w:shd w:val="clear"/>
                <w:lang w:val="en-US" w:eastAsia="zh-CN"/>
              </w:rPr>
              <w:t xml:space="preserve"> </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万</w:t>
            </w:r>
            <w:r>
              <w:rPr>
                <w:rFonts w:hint="eastAsia"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10</w:t>
            </w:r>
            <w:r>
              <w:rPr>
                <w:rFonts w:hint="default" w:ascii="Times New Roman" w:hAnsi="Times New Roman" w:eastAsia="仿宋" w:cs="Times New Roman"/>
                <w:color w:val="auto"/>
                <w:sz w:val="21"/>
                <w:szCs w:val="21"/>
                <w:highlight w:val="none"/>
              </w:rPr>
              <w:t>分；</w:t>
            </w:r>
          </w:p>
          <w:p w14:paraId="721BBA9A">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1890" w:firstLineChars="90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 xml:space="preserve">2.累计 </w:t>
            </w:r>
            <w:r>
              <w:rPr>
                <w:rFonts w:hint="default" w:ascii="Times New Roman" w:hAnsi="Times New Roman" w:eastAsia="仿宋" w:cs="Times New Roman"/>
                <w:color w:val="auto"/>
                <w:sz w:val="21"/>
                <w:szCs w:val="21"/>
                <w:highlight w:val="none"/>
                <w:lang w:val="en-US" w:eastAsia="zh-CN"/>
              </w:rPr>
              <w:t>2</w:t>
            </w:r>
            <w:r>
              <w:rPr>
                <w:rFonts w:hint="eastAsia" w:eastAsia="仿宋" w:cs="Times New Roman"/>
                <w:color w:val="auto"/>
                <w:sz w:val="21"/>
                <w:szCs w:val="21"/>
                <w:highlight w:val="none"/>
                <w:lang w:val="en-US" w:eastAsia="zh-CN"/>
              </w:rPr>
              <w:t>万</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万，</w:t>
            </w:r>
            <w:r>
              <w:rPr>
                <w:rFonts w:hint="default" w:ascii="Times New Roman" w:hAnsi="Times New Roman" w:eastAsia="仿宋" w:cs="Times New Roman"/>
                <w:color w:val="auto"/>
                <w:sz w:val="21"/>
                <w:szCs w:val="21"/>
                <w:highlight w:val="none"/>
                <w:lang w:val="en-US" w:eastAsia="zh-CN"/>
              </w:rPr>
              <w:t>8</w:t>
            </w:r>
            <w:r>
              <w:rPr>
                <w:rFonts w:hint="default" w:ascii="Times New Roman" w:hAnsi="Times New Roman" w:eastAsia="仿宋" w:cs="Times New Roman"/>
                <w:color w:val="auto"/>
                <w:sz w:val="21"/>
                <w:szCs w:val="21"/>
                <w:highlight w:val="none"/>
              </w:rPr>
              <w:t>分；</w:t>
            </w:r>
          </w:p>
          <w:p w14:paraId="639B5425">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1890" w:firstLineChars="900"/>
              <w:jc w:val="both"/>
              <w:textAlignment w:val="center"/>
              <w:outlineLvl w:val="9"/>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3.累计</w:t>
            </w:r>
            <w:r>
              <w:rPr>
                <w:rFonts w:hint="default" w:ascii="Times New Roman" w:hAnsi="Times New Roman" w:eastAsia="仿宋" w:cs="Times New Roman"/>
                <w:color w:val="auto"/>
                <w:sz w:val="21"/>
                <w:szCs w:val="21"/>
                <w:highlight w:val="none"/>
                <w:lang w:val="en-US" w:eastAsia="zh-CN"/>
              </w:rPr>
              <w:t>1</w:t>
            </w:r>
            <w:r>
              <w:rPr>
                <w:rFonts w:hint="eastAsia" w:eastAsia="仿宋" w:cs="Times New Roman"/>
                <w:color w:val="auto"/>
                <w:sz w:val="21"/>
                <w:szCs w:val="21"/>
                <w:highlight w:val="none"/>
                <w:lang w:val="en-US" w:eastAsia="zh-CN"/>
              </w:rPr>
              <w:t>万</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万，</w:t>
            </w:r>
            <w:r>
              <w:rPr>
                <w:rFonts w:hint="default" w:ascii="Times New Roman" w:hAnsi="Times New Roman" w:eastAsia="仿宋" w:cs="Times New Roman"/>
                <w:color w:val="auto"/>
                <w:sz w:val="21"/>
                <w:szCs w:val="21"/>
                <w:highlight w:val="none"/>
                <w:lang w:val="en-US" w:eastAsia="zh-CN"/>
              </w:rPr>
              <w:t>6</w:t>
            </w:r>
            <w:r>
              <w:rPr>
                <w:rFonts w:hint="default" w:ascii="Times New Roman" w:hAnsi="Times New Roman" w:eastAsia="仿宋" w:cs="Times New Roman"/>
                <w:color w:val="auto"/>
                <w:sz w:val="21"/>
                <w:szCs w:val="21"/>
                <w:highlight w:val="none"/>
              </w:rPr>
              <w:t>分；</w:t>
            </w:r>
          </w:p>
          <w:p w14:paraId="6349CB34">
            <w:pPr>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1890" w:firstLineChars="900"/>
              <w:jc w:val="both"/>
              <w:textAlignment w:val="center"/>
              <w:outlineLvl w:val="9"/>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4.累计</w:t>
            </w:r>
            <w:r>
              <w:rPr>
                <w:rFonts w:hint="default" w:ascii="Times New Roman" w:hAnsi="Times New Roman" w:eastAsia="仿宋" w:cs="Times New Roman"/>
                <w:color w:val="auto"/>
                <w:sz w:val="21"/>
                <w:szCs w:val="21"/>
                <w:highlight w:val="none"/>
                <w:lang w:val="en-US" w:eastAsia="zh-CN"/>
              </w:rPr>
              <w:t>0.5</w:t>
            </w:r>
            <w:r>
              <w:rPr>
                <w:rFonts w:hint="eastAsia" w:eastAsia="仿宋" w:cs="Times New Roman"/>
                <w:color w:val="auto"/>
                <w:sz w:val="21"/>
                <w:szCs w:val="21"/>
                <w:highlight w:val="none"/>
                <w:lang w:val="en-US" w:eastAsia="zh-CN"/>
              </w:rPr>
              <w:t>万</w:t>
            </w:r>
            <w:r>
              <w:rPr>
                <w:rFonts w:hint="default" w:ascii="Times New Roman" w:hAnsi="Times New Roman" w:eastAsia="仿宋" w:cs="Times New Roman"/>
                <w:color w:val="auto"/>
                <w:sz w:val="21"/>
                <w:szCs w:val="21"/>
                <w:highlight w:val="none"/>
                <w:lang w:val="en-US" w:eastAsia="zh-CN"/>
              </w:rPr>
              <w:t>～1</w:t>
            </w:r>
            <w:r>
              <w:rPr>
                <w:rFonts w:hint="default" w:ascii="Times New Roman" w:hAnsi="Times New Roman" w:eastAsia="仿宋" w:cs="Times New Roman"/>
                <w:color w:val="auto"/>
                <w:sz w:val="21"/>
                <w:szCs w:val="21"/>
                <w:highlight w:val="none"/>
              </w:rPr>
              <w:t>万，</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tc>
      </w:tr>
      <w:tr w14:paraId="114AF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0" w:hRule="atLeast"/>
          <w:jc w:val="center"/>
        </w:trPr>
        <w:tc>
          <w:tcPr>
            <w:tcW w:w="1897" w:type="dxa"/>
            <w:vMerge w:val="continue"/>
            <w:noWrap w:val="0"/>
            <w:vAlign w:val="center"/>
          </w:tcPr>
          <w:p w14:paraId="0B896BA2">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kern w:val="0"/>
                <w:sz w:val="21"/>
                <w:szCs w:val="21"/>
                <w:highlight w:val="none"/>
                <w:lang w:bidi="ar"/>
              </w:rPr>
            </w:pPr>
          </w:p>
        </w:tc>
        <w:tc>
          <w:tcPr>
            <w:tcW w:w="3833" w:type="dxa"/>
            <w:noWrap w:val="0"/>
            <w:vAlign w:val="center"/>
          </w:tcPr>
          <w:p w14:paraId="25B80B3A">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color w:val="auto"/>
                <w:kern w:val="0"/>
                <w:sz w:val="21"/>
                <w:szCs w:val="21"/>
                <w:highlight w:val="none"/>
                <w:lang w:val="en-US" w:eastAsia="zh-CN" w:bidi="ar"/>
              </w:rPr>
              <w:t>6</w:t>
            </w: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b/>
                <w:bCs/>
                <w:color w:val="auto"/>
                <w:kern w:val="0"/>
                <w:sz w:val="21"/>
                <w:szCs w:val="21"/>
                <w:highlight w:val="none"/>
                <w:lang w:val="en-US" w:eastAsia="zh-CN" w:bidi="ar"/>
              </w:rPr>
              <w:t>人用经验积累：</w:t>
            </w:r>
            <w:r>
              <w:rPr>
                <w:rFonts w:hint="default" w:ascii="Times New Roman" w:hAnsi="Times New Roman" w:eastAsia="仿宋" w:cs="Times New Roman"/>
                <w:b w:val="0"/>
                <w:bCs w:val="0"/>
                <w:color w:val="auto"/>
                <w:kern w:val="0"/>
                <w:sz w:val="21"/>
                <w:szCs w:val="21"/>
                <w:highlight w:val="none"/>
                <w:lang w:val="en-US" w:eastAsia="zh-CN" w:bidi="ar"/>
              </w:rPr>
              <w:t>应全面、系统地总结用药经验、典型病案等，梳理出具有一定规律性和可重复</w:t>
            </w:r>
            <w:r>
              <w:rPr>
                <w:rFonts w:hint="eastAsia" w:eastAsia="仿宋" w:cs="Times New Roman"/>
                <w:b w:val="0"/>
                <w:bCs w:val="0"/>
                <w:color w:val="auto"/>
                <w:kern w:val="0"/>
                <w:sz w:val="21"/>
                <w:szCs w:val="21"/>
                <w:highlight w:val="none"/>
                <w:lang w:val="en-US" w:eastAsia="zh-CN" w:bidi="ar"/>
              </w:rPr>
              <w:t>性的的</w:t>
            </w:r>
            <w:r>
              <w:rPr>
                <w:rFonts w:hint="default" w:ascii="Times New Roman" w:hAnsi="Times New Roman" w:eastAsia="仿宋" w:cs="Times New Roman"/>
                <w:b w:val="0"/>
                <w:bCs w:val="0"/>
                <w:color w:val="auto"/>
                <w:kern w:val="0"/>
                <w:sz w:val="21"/>
                <w:szCs w:val="21"/>
                <w:highlight w:val="none"/>
                <w:lang w:val="en-US" w:eastAsia="zh-CN" w:bidi="ar"/>
              </w:rPr>
              <w:t>临床用药体会，阐述制剂的临床价值。</w:t>
            </w:r>
          </w:p>
        </w:tc>
        <w:tc>
          <w:tcPr>
            <w:tcW w:w="1040" w:type="dxa"/>
            <w:noWrap w:val="0"/>
            <w:vAlign w:val="center"/>
          </w:tcPr>
          <w:p w14:paraId="77D4526A">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bidi="ar"/>
              </w:rPr>
              <w:t>10</w:t>
            </w:r>
          </w:p>
        </w:tc>
        <w:tc>
          <w:tcPr>
            <w:tcW w:w="7114" w:type="dxa"/>
            <w:noWrap w:val="0"/>
            <w:vAlign w:val="center"/>
          </w:tcPr>
          <w:p w14:paraId="47C8907D">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1.完整规范的人用经验研究报告，明确临床定位、适用人群、用药剂量、疗程、疗效特点、临床获益、安全性风险的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8～10</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p w14:paraId="117EF62D">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2.对适用人群、剂量、疗程、疗效、安全性进行梳理总结</w:t>
            </w:r>
            <w:r>
              <w:rPr>
                <w:rFonts w:hint="eastAsia"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5～7</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p w14:paraId="561BEF1A">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center"/>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rPr>
              <w:t>3.</w:t>
            </w:r>
            <w:r>
              <w:rPr>
                <w:rFonts w:hint="default" w:ascii="Times New Roman" w:hAnsi="Times New Roman" w:eastAsia="仿宋" w:cs="Times New Roman"/>
                <w:color w:val="auto"/>
                <w:sz w:val="21"/>
                <w:szCs w:val="21"/>
                <w:highlight w:val="none"/>
                <w:lang w:val="en-US" w:eastAsia="zh-CN"/>
              </w:rPr>
              <w:t>提供不少于50</w:t>
            </w:r>
            <w:r>
              <w:rPr>
                <w:rFonts w:hint="default" w:ascii="Times New Roman" w:hAnsi="Times New Roman" w:eastAsia="仿宋" w:cs="Times New Roman"/>
                <w:color w:val="auto"/>
                <w:sz w:val="21"/>
                <w:szCs w:val="21"/>
                <w:highlight w:val="none"/>
              </w:rPr>
              <w:t>例制剂有效性和安全性数据</w:t>
            </w:r>
            <w:r>
              <w:rPr>
                <w:rFonts w:hint="default" w:ascii="Times New Roman" w:hAnsi="Times New Roman" w:eastAsia="仿宋" w:cs="Times New Roman"/>
                <w:color w:val="auto"/>
                <w:sz w:val="21"/>
                <w:szCs w:val="21"/>
                <w:highlight w:val="none"/>
                <w:lang w:val="en-US" w:eastAsia="zh-CN"/>
              </w:rPr>
              <w:t>总结的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3～4</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p w14:paraId="52A2B8E2">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center"/>
              <w:rPr>
                <w:rFonts w:hint="default" w:ascii="Times New Roman" w:hAnsi="Times New Roman" w:eastAsia="仿宋" w:cs="Times New Roman"/>
                <w:color w:val="auto"/>
                <w:sz w:val="21"/>
                <w:szCs w:val="21"/>
                <w:highlight w:val="yellow"/>
                <w:lang w:val="en-US" w:eastAsia="zh-CN"/>
              </w:rPr>
            </w:pPr>
            <w:r>
              <w:rPr>
                <w:rFonts w:hint="default" w:ascii="Times New Roman" w:hAnsi="Times New Roman" w:eastAsia="仿宋" w:cs="Times New Roman"/>
                <w:color w:val="auto"/>
                <w:sz w:val="21"/>
                <w:szCs w:val="21"/>
                <w:highlight w:val="none"/>
                <w:lang w:val="en-US" w:eastAsia="zh-CN"/>
              </w:rPr>
              <w:t>4.提供50例以下典型病案总结的，1～2分。</w:t>
            </w:r>
          </w:p>
        </w:tc>
      </w:tr>
      <w:tr w14:paraId="0040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restart"/>
            <w:noWrap w:val="0"/>
            <w:vAlign w:val="center"/>
          </w:tcPr>
          <w:p w14:paraId="49449461">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黑体" w:cs="Times New Roman"/>
                <w:b w:val="0"/>
                <w:bCs w:val="0"/>
                <w:color w:val="auto"/>
                <w:kern w:val="0"/>
                <w:sz w:val="21"/>
                <w:szCs w:val="21"/>
                <w:highlight w:val="none"/>
                <w:lang w:bidi="ar"/>
              </w:rPr>
              <w:t>二、药学综合评价（</w:t>
            </w:r>
            <w:r>
              <w:rPr>
                <w:rFonts w:hint="eastAsia" w:eastAsia="黑体" w:cs="Times New Roman"/>
                <w:b w:val="0"/>
                <w:bCs w:val="0"/>
                <w:color w:val="auto"/>
                <w:kern w:val="0"/>
                <w:sz w:val="21"/>
                <w:szCs w:val="21"/>
                <w:highlight w:val="none"/>
                <w:lang w:val="en-US" w:eastAsia="zh-CN" w:bidi="ar"/>
              </w:rPr>
              <w:t>38</w:t>
            </w:r>
            <w:r>
              <w:rPr>
                <w:rFonts w:hint="default" w:ascii="Times New Roman" w:hAnsi="Times New Roman" w:eastAsia="黑体" w:cs="Times New Roman"/>
                <w:b w:val="0"/>
                <w:bCs w:val="0"/>
                <w:color w:val="auto"/>
                <w:kern w:val="0"/>
                <w:sz w:val="21"/>
                <w:szCs w:val="21"/>
                <w:highlight w:val="none"/>
                <w:lang w:bidi="ar"/>
              </w:rPr>
              <w:t>分）</w:t>
            </w:r>
          </w:p>
        </w:tc>
        <w:tc>
          <w:tcPr>
            <w:tcW w:w="3833" w:type="dxa"/>
            <w:noWrap w:val="0"/>
            <w:vAlign w:val="center"/>
          </w:tcPr>
          <w:p w14:paraId="08F13EE8">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lang w:val="en-US" w:eastAsia="zh-CN"/>
              </w:rPr>
            </w:pPr>
            <w:r>
              <w:rPr>
                <w:rStyle w:val="8"/>
                <w:rFonts w:hint="default" w:ascii="Times New Roman" w:hAnsi="Times New Roman" w:eastAsia="仿宋" w:cs="Times New Roman"/>
                <w:color w:val="auto"/>
                <w:sz w:val="21"/>
                <w:szCs w:val="21"/>
                <w:highlight w:val="none"/>
                <w:lang w:eastAsia="zh-CN" w:bidi="ar"/>
              </w:rPr>
              <w:t>（</w:t>
            </w:r>
            <w:r>
              <w:rPr>
                <w:rStyle w:val="8"/>
                <w:rFonts w:hint="default" w:ascii="Times New Roman" w:hAnsi="Times New Roman" w:eastAsia="仿宋" w:cs="Times New Roman"/>
                <w:color w:val="auto"/>
                <w:sz w:val="21"/>
                <w:szCs w:val="21"/>
                <w:highlight w:val="none"/>
                <w:lang w:val="en-US" w:eastAsia="zh-CN" w:bidi="ar"/>
              </w:rPr>
              <w:t>1）</w:t>
            </w:r>
            <w:r>
              <w:rPr>
                <w:rStyle w:val="8"/>
                <w:rFonts w:hint="default" w:ascii="Times New Roman" w:hAnsi="Times New Roman" w:eastAsia="仿宋" w:cs="Times New Roman"/>
                <w:b/>
                <w:bCs/>
                <w:color w:val="auto"/>
                <w:sz w:val="21"/>
                <w:szCs w:val="21"/>
                <w:highlight w:val="none"/>
                <w:lang w:val="en-US" w:eastAsia="zh-CN" w:bidi="ar"/>
              </w:rPr>
              <w:t>处方药味组成：</w:t>
            </w:r>
            <w:r>
              <w:rPr>
                <w:rStyle w:val="8"/>
                <w:rFonts w:hint="default" w:ascii="Times New Roman" w:hAnsi="Times New Roman" w:eastAsia="仿宋" w:cs="Times New Roman"/>
                <w:b w:val="0"/>
                <w:bCs w:val="0"/>
                <w:color w:val="auto"/>
                <w:sz w:val="21"/>
                <w:szCs w:val="21"/>
                <w:highlight w:val="none"/>
                <w:lang w:val="en-US" w:eastAsia="zh-CN" w:bidi="ar"/>
              </w:rPr>
              <w:t>处方药味均应有法定质量标准；处方中含有十八反、十九畏等配伍禁忌的，应有明确的中医理论或流派治法支持，或安全性方面的证明资料；明确多基原药味是否为固定基原。</w:t>
            </w:r>
          </w:p>
        </w:tc>
        <w:tc>
          <w:tcPr>
            <w:tcW w:w="1040" w:type="dxa"/>
            <w:noWrap w:val="0"/>
            <w:vAlign w:val="center"/>
          </w:tcPr>
          <w:p w14:paraId="43E81D4E">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kern w:val="0"/>
                <w:sz w:val="21"/>
                <w:szCs w:val="21"/>
                <w:highlight w:val="none"/>
                <w:lang w:val="en-US" w:eastAsia="zh-CN" w:bidi="ar"/>
              </w:rPr>
              <w:t>10</w:t>
            </w:r>
          </w:p>
        </w:tc>
        <w:tc>
          <w:tcPr>
            <w:tcW w:w="7114" w:type="dxa"/>
            <w:noWrap w:val="0"/>
            <w:vAlign w:val="center"/>
          </w:tcPr>
          <w:p w14:paraId="39204043">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该指标总分</w:t>
            </w:r>
            <w:r>
              <w:rPr>
                <w:rFonts w:hint="default" w:ascii="Times New Roman" w:hAnsi="Times New Roman" w:eastAsia="仿宋" w:cs="Times New Roman"/>
                <w:b/>
                <w:bCs/>
                <w:color w:val="auto"/>
                <w:sz w:val="21"/>
                <w:szCs w:val="21"/>
                <w:highlight w:val="none"/>
                <w:lang w:val="en-US" w:eastAsia="zh-CN"/>
              </w:rPr>
              <w:t>10</w:t>
            </w:r>
            <w:r>
              <w:rPr>
                <w:rFonts w:hint="default" w:ascii="Times New Roman" w:hAnsi="Times New Roman" w:eastAsia="仿宋" w:cs="Times New Roman"/>
                <w:b/>
                <w:bCs/>
                <w:color w:val="auto"/>
                <w:sz w:val="21"/>
                <w:szCs w:val="21"/>
                <w:highlight w:val="none"/>
              </w:rPr>
              <w:t>分，采用扣分制。</w:t>
            </w:r>
          </w:p>
          <w:p w14:paraId="1B44794F">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一、处方药味是否均有法定质量标准来源，5分。</w:t>
            </w:r>
          </w:p>
          <w:p w14:paraId="727D34D6">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1.处方中含有2味及以上药味是无法定质量标准来源的，扣5分；</w:t>
            </w:r>
          </w:p>
          <w:p w14:paraId="595B146E">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2.处方中含有1味药味是无法定质量标准来源的，扣2分。</w:t>
            </w:r>
          </w:p>
          <w:p w14:paraId="212C03A6">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二、处方是否具有十八反、十九畏配伍禁忌，2分。</w:t>
            </w:r>
          </w:p>
          <w:p w14:paraId="7432C94C">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处方药味中含十八反、十九畏具有配伍禁忌的，扣2分。</w:t>
            </w:r>
          </w:p>
          <w:p w14:paraId="487674CF">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三、多基原药味是否为固定基原，1分。</w:t>
            </w:r>
          </w:p>
          <w:p w14:paraId="56EB07B0">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1.处方中含有多基原药味未固定</w:t>
            </w:r>
            <w:r>
              <w:rPr>
                <w:rFonts w:hint="eastAsia" w:eastAsia="仿宋" w:cs="Times New Roman"/>
                <w:color w:val="auto"/>
                <w:sz w:val="21"/>
                <w:szCs w:val="21"/>
                <w:highlight w:val="none"/>
                <w:lang w:val="en-US" w:eastAsia="zh-CN"/>
              </w:rPr>
              <w:t>基原</w:t>
            </w:r>
            <w:r>
              <w:rPr>
                <w:rFonts w:hint="default" w:ascii="Times New Roman" w:hAnsi="Times New Roman" w:eastAsia="仿宋" w:cs="Times New Roman"/>
                <w:color w:val="auto"/>
                <w:sz w:val="21"/>
                <w:szCs w:val="21"/>
                <w:highlight w:val="none"/>
                <w:lang w:val="en-US" w:eastAsia="zh-CN"/>
              </w:rPr>
              <w:t>的，扣1分。</w:t>
            </w:r>
          </w:p>
          <w:p w14:paraId="44B5F54D">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四、处方中是否含有濒危药材资源的药味，2分。</w:t>
            </w:r>
          </w:p>
          <w:p w14:paraId="591ACDCF">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1.处方中含有2味及以上药味是濒危药材资源的，扣2分；</w:t>
            </w:r>
          </w:p>
          <w:p w14:paraId="0CB78A80">
            <w:pPr>
              <w:pStyle w:val="9"/>
              <w:keepNext w:val="0"/>
              <w:keepLines w:val="0"/>
              <w:pageBreakBefore w:val="0"/>
              <w:widowControl w:val="0"/>
              <w:kinsoku/>
              <w:wordWrap/>
              <w:overflowPunct/>
              <w:topLinePunct w:val="0"/>
              <w:autoSpaceDE/>
              <w:autoSpaceDN/>
              <w:bidi w:val="0"/>
              <w:adjustRightInd/>
              <w:snapToGrid/>
              <w:spacing w:line="280" w:lineRule="exact"/>
              <w:ind w:left="0" w:leftChars="0" w:right="0" w:rightChars="0" w:firstLine="420" w:firstLineChars="200"/>
              <w:jc w:val="both"/>
              <w:textAlignment w:val="auto"/>
              <w:outlineLvl w:val="2"/>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2.处方中含有1味药味是濒危药材资源的，扣1分。</w:t>
            </w:r>
          </w:p>
        </w:tc>
      </w:tr>
      <w:tr w14:paraId="7FF06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079C7292">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228D13CC">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kern w:val="0"/>
                <w:sz w:val="21"/>
                <w:szCs w:val="21"/>
                <w:highlight w:val="none"/>
                <w:lang w:eastAsia="zh-CN" w:bidi="ar"/>
              </w:rPr>
            </w:pP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color w:val="auto"/>
                <w:kern w:val="0"/>
                <w:sz w:val="21"/>
                <w:szCs w:val="21"/>
                <w:highlight w:val="none"/>
                <w:lang w:val="en-US" w:eastAsia="zh-CN" w:bidi="ar"/>
              </w:rPr>
              <w:t>2</w:t>
            </w: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b/>
                <w:bCs/>
                <w:color w:val="auto"/>
                <w:kern w:val="0"/>
                <w:sz w:val="21"/>
                <w:szCs w:val="21"/>
                <w:highlight w:val="none"/>
                <w:lang w:val="en-US" w:eastAsia="zh-CN" w:bidi="ar"/>
              </w:rPr>
              <w:t>不良反应监测：</w:t>
            </w:r>
            <w:r>
              <w:rPr>
                <w:rFonts w:hint="default" w:ascii="Times New Roman" w:hAnsi="Times New Roman" w:eastAsia="仿宋" w:cs="Times New Roman"/>
                <w:b w:val="0"/>
                <w:bCs w:val="0"/>
                <w:color w:val="auto"/>
                <w:kern w:val="0"/>
                <w:sz w:val="21"/>
                <w:szCs w:val="21"/>
                <w:highlight w:val="none"/>
                <w:lang w:val="en-US" w:eastAsia="zh-CN" w:bidi="ar"/>
              </w:rPr>
              <w:t>医疗机构应规范开展制剂不良反应监测工作，建立不良反应监测制度，并将不良反应上报监测系统，不良反应监测总结报告应分析新增、严重不良反应情况。</w:t>
            </w:r>
          </w:p>
        </w:tc>
        <w:tc>
          <w:tcPr>
            <w:tcW w:w="1040" w:type="dxa"/>
            <w:noWrap w:val="0"/>
            <w:vAlign w:val="center"/>
          </w:tcPr>
          <w:p w14:paraId="611091DB">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kern w:val="0"/>
                <w:sz w:val="21"/>
                <w:szCs w:val="21"/>
                <w:highlight w:val="none"/>
                <w:lang w:val="en-US" w:eastAsia="zh-CN" w:bidi="ar"/>
              </w:rPr>
            </w:pPr>
            <w:r>
              <w:rPr>
                <w:rFonts w:hint="default" w:ascii="Times New Roman" w:hAnsi="Times New Roman" w:eastAsia="仿宋" w:cs="Times New Roman"/>
                <w:b/>
                <w:bCs/>
                <w:color w:val="auto"/>
                <w:kern w:val="0"/>
                <w:sz w:val="21"/>
                <w:szCs w:val="21"/>
                <w:highlight w:val="none"/>
                <w:lang w:val="en-US" w:eastAsia="zh-CN" w:bidi="ar"/>
              </w:rPr>
              <w:t>8</w:t>
            </w:r>
          </w:p>
        </w:tc>
        <w:tc>
          <w:tcPr>
            <w:tcW w:w="7114" w:type="dxa"/>
            <w:noWrap w:val="0"/>
            <w:vAlign w:val="center"/>
          </w:tcPr>
          <w:p w14:paraId="03E7D255">
            <w:pPr>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textAlignment w:val="center"/>
              <w:rPr>
                <w:rFonts w:hint="default" w:ascii="Times New Roman" w:hAnsi="Times New Roman" w:eastAsia="仿宋" w:cs="Times New Roman"/>
                <w:b/>
                <w:bCs/>
                <w:color w:val="auto"/>
                <w:kern w:val="0"/>
                <w:sz w:val="21"/>
                <w:szCs w:val="21"/>
                <w:highlight w:val="none"/>
                <w:lang w:val="en-US" w:eastAsia="zh-CN" w:bidi="ar"/>
              </w:rPr>
            </w:pPr>
            <w:r>
              <w:rPr>
                <w:rFonts w:hint="default" w:ascii="Times New Roman" w:hAnsi="Times New Roman" w:eastAsia="仿宋" w:cs="Times New Roman"/>
                <w:b/>
                <w:bCs/>
                <w:color w:val="auto"/>
                <w:kern w:val="0"/>
                <w:sz w:val="21"/>
                <w:szCs w:val="21"/>
                <w:highlight w:val="none"/>
                <w:lang w:val="en-US" w:eastAsia="zh-CN" w:bidi="ar"/>
              </w:rPr>
              <w:t>一、不良反应监测体系建设，4分。</w:t>
            </w:r>
          </w:p>
          <w:p w14:paraId="71C81EFE">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建有完善的不良反应监测体系，并设立或指定专门机构、人员，1～4分。</w:t>
            </w:r>
          </w:p>
          <w:p w14:paraId="07556785">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二、不良反应收集上报情况，4分。</w:t>
            </w:r>
          </w:p>
          <w:p w14:paraId="12FF8C08">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规范开展不良反应监测，并通过国家药品不良反应监测系统报告，定期对不良反应监测情况进行分析，1～4分。</w:t>
            </w:r>
          </w:p>
          <w:p w14:paraId="1936EA4E">
            <w:pPr>
              <w:pStyle w:val="9"/>
              <w:keepNext w:val="0"/>
              <w:keepLines w:val="0"/>
              <w:pageBreakBefore w:val="0"/>
              <w:widowControl w:val="0"/>
              <w:kinsoku/>
              <w:wordWrap/>
              <w:overflowPunct/>
              <w:topLinePunct w:val="0"/>
              <w:autoSpaceDE/>
              <w:autoSpaceDN/>
              <w:bidi w:val="0"/>
              <w:adjustRightInd/>
              <w:snapToGrid/>
              <w:spacing w:line="280" w:lineRule="exact"/>
              <w:ind w:right="0" w:rightChars="0" w:firstLine="480"/>
              <w:jc w:val="both"/>
              <w:textAlignment w:val="auto"/>
              <w:outlineLvl w:val="2"/>
              <w:rPr>
                <w:rFonts w:hint="default" w:ascii="Times New Roman" w:hAnsi="Times New Roman" w:eastAsia="仿宋" w:cs="Times New Roman"/>
                <w:color w:val="auto"/>
                <w:sz w:val="21"/>
                <w:szCs w:val="21"/>
              </w:rPr>
            </w:pPr>
            <w:r>
              <w:rPr>
                <w:rFonts w:hint="default" w:ascii="Times New Roman" w:hAnsi="Times New Roman" w:eastAsia="仿宋" w:cs="Times New Roman"/>
                <w:b/>
                <w:bCs/>
                <w:color w:val="auto"/>
                <w:sz w:val="21"/>
                <w:szCs w:val="21"/>
                <w:highlight w:val="none"/>
                <w:lang w:val="en-US" w:eastAsia="zh-CN"/>
              </w:rPr>
              <w:t>备注：综合考虑临床价值、不良反应、药物经济性等因素，经评估认为风险大于收益的此大项为0分。</w:t>
            </w:r>
          </w:p>
        </w:tc>
      </w:tr>
      <w:tr w14:paraId="55D1E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0066F768">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5D1EF0A4">
            <w:pPr>
              <w:keepNext w:val="0"/>
              <w:keepLines w:val="0"/>
              <w:pageBreakBefore w:val="0"/>
              <w:widowControl w:val="0"/>
              <w:numPr>
                <w:ilvl w:val="0"/>
                <w:numId w:val="3"/>
              </w:numPr>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rPr>
            </w:pPr>
            <w:r>
              <w:rPr>
                <w:rFonts w:hint="default" w:ascii="Times New Roman" w:hAnsi="Times New Roman" w:eastAsia="仿宋" w:cs="Times New Roman"/>
                <w:b/>
                <w:bCs/>
                <w:color w:val="auto"/>
                <w:kern w:val="0"/>
                <w:sz w:val="21"/>
                <w:szCs w:val="21"/>
                <w:highlight w:val="none"/>
                <w:lang w:val="en-US" w:eastAsia="zh-CN" w:bidi="ar"/>
              </w:rPr>
              <w:t>说明书、标签：</w:t>
            </w:r>
            <w:r>
              <w:rPr>
                <w:rFonts w:hint="default" w:ascii="Times New Roman" w:hAnsi="Times New Roman" w:eastAsia="仿宋" w:cs="Times New Roman"/>
                <w:color w:val="auto"/>
                <w:kern w:val="0"/>
                <w:sz w:val="21"/>
                <w:szCs w:val="21"/>
                <w:highlight w:val="none"/>
                <w:lang w:bidi="ar"/>
              </w:rPr>
              <w:t>内容与省药监部门批准一致</w:t>
            </w:r>
            <w:r>
              <w:rPr>
                <w:rFonts w:hint="default" w:ascii="Times New Roman" w:hAnsi="Times New Roman" w:eastAsia="仿宋" w:cs="Times New Roman"/>
                <w:color w:val="auto"/>
                <w:kern w:val="0"/>
                <w:sz w:val="21"/>
                <w:szCs w:val="21"/>
                <w:highlight w:val="none"/>
                <w:lang w:eastAsia="zh-CN" w:bidi="ar"/>
              </w:rPr>
              <w:t>，</w:t>
            </w:r>
            <w:r>
              <w:rPr>
                <w:rFonts w:hint="default" w:ascii="Times New Roman" w:hAnsi="Times New Roman" w:eastAsia="仿宋" w:cs="Times New Roman"/>
                <w:color w:val="auto"/>
                <w:kern w:val="0"/>
                <w:sz w:val="21"/>
                <w:szCs w:val="21"/>
                <w:highlight w:val="none"/>
                <w:lang w:bidi="ar"/>
              </w:rPr>
              <w:t>安全信息（如</w:t>
            </w:r>
            <w:r>
              <w:rPr>
                <w:rFonts w:hint="default" w:ascii="Times New Roman" w:hAnsi="Times New Roman" w:eastAsia="仿宋" w:cs="Times New Roman"/>
                <w:color w:val="auto"/>
                <w:kern w:val="0"/>
                <w:sz w:val="21"/>
                <w:szCs w:val="21"/>
                <w:highlight w:val="none"/>
                <w:lang w:eastAsia="zh-CN" w:bidi="ar"/>
              </w:rPr>
              <w:t>使用制剂的不良反应、</w:t>
            </w:r>
            <w:r>
              <w:rPr>
                <w:rFonts w:hint="eastAsia" w:eastAsia="仿宋" w:cs="Times New Roman"/>
                <w:color w:val="auto"/>
                <w:kern w:val="0"/>
                <w:sz w:val="21"/>
                <w:szCs w:val="21"/>
                <w:highlight w:val="none"/>
                <w:lang w:eastAsia="zh-CN" w:bidi="ar"/>
              </w:rPr>
              <w:t>禁忌</w:t>
            </w:r>
            <w:r>
              <w:rPr>
                <w:rFonts w:hint="eastAsia" w:eastAsia="仿宋" w:cs="Times New Roman"/>
                <w:color w:val="auto"/>
                <w:kern w:val="0"/>
                <w:sz w:val="21"/>
                <w:szCs w:val="21"/>
                <w:highlight w:val="none"/>
                <w:lang w:val="en-US" w:eastAsia="zh-CN" w:bidi="ar"/>
              </w:rPr>
              <w:t>证</w:t>
            </w:r>
            <w:r>
              <w:rPr>
                <w:rFonts w:hint="default" w:ascii="Times New Roman" w:hAnsi="Times New Roman" w:eastAsia="仿宋" w:cs="Times New Roman"/>
                <w:color w:val="auto"/>
                <w:kern w:val="0"/>
                <w:sz w:val="21"/>
                <w:szCs w:val="21"/>
                <w:highlight w:val="none"/>
                <w:lang w:bidi="ar"/>
              </w:rPr>
              <w:t>、注意事项、特殊人群用药等）合理完整</w:t>
            </w:r>
            <w:r>
              <w:rPr>
                <w:rFonts w:hint="default" w:ascii="Times New Roman" w:hAnsi="Times New Roman" w:eastAsia="仿宋" w:cs="Times New Roman"/>
                <w:color w:val="auto"/>
                <w:kern w:val="0"/>
                <w:sz w:val="21"/>
                <w:szCs w:val="21"/>
                <w:highlight w:val="none"/>
                <w:lang w:eastAsia="zh-CN" w:bidi="ar"/>
              </w:rPr>
              <w:t>。</w:t>
            </w:r>
          </w:p>
        </w:tc>
        <w:tc>
          <w:tcPr>
            <w:tcW w:w="1040" w:type="dxa"/>
            <w:noWrap w:val="0"/>
            <w:vAlign w:val="center"/>
          </w:tcPr>
          <w:p w14:paraId="4E2377A0">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kern w:val="0"/>
                <w:sz w:val="21"/>
                <w:szCs w:val="21"/>
                <w:highlight w:val="none"/>
                <w:lang w:val="en-US" w:eastAsia="zh-CN" w:bidi="ar"/>
              </w:rPr>
              <w:t>4</w:t>
            </w:r>
          </w:p>
        </w:tc>
        <w:tc>
          <w:tcPr>
            <w:tcW w:w="7114" w:type="dxa"/>
            <w:noWrap w:val="0"/>
            <w:vAlign w:val="center"/>
          </w:tcPr>
          <w:p w14:paraId="43283313">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1. 说明书、标签与省药监局批准信息一致，安全性信息完整</w:t>
            </w:r>
            <w:r>
              <w:rPr>
                <w:rFonts w:hint="eastAsia" w:ascii="Times New Roman" w:hAnsi="Times New Roman"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lang w:val="en-US" w:eastAsia="zh-CN"/>
              </w:rPr>
              <w:t>，4分</w:t>
            </w:r>
          </w:p>
          <w:p w14:paraId="26A5ABCE">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2.说明书、标签的安全信息部分为“尚不明确”的，2～3分；</w:t>
            </w:r>
          </w:p>
          <w:p w14:paraId="2CA38596">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3.说明书、标签的安全信息均为“尚不明确”的，1分。</w:t>
            </w:r>
          </w:p>
          <w:p w14:paraId="6BBD67F3">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textAlignment w:val="auto"/>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备注：说明书、标签内容与省药监局批准不一致的，此项为0分。</w:t>
            </w:r>
          </w:p>
        </w:tc>
      </w:tr>
      <w:tr w14:paraId="23BC6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3B6301CD">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0603A6E4">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yellow"/>
                <w:lang w:val="en-US" w:eastAsia="zh-CN"/>
              </w:rPr>
            </w:pP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color w:val="auto"/>
                <w:kern w:val="0"/>
                <w:sz w:val="21"/>
                <w:szCs w:val="21"/>
                <w:highlight w:val="none"/>
                <w:lang w:val="en-US" w:eastAsia="zh-CN" w:bidi="ar"/>
              </w:rPr>
              <w:t>4</w:t>
            </w: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b/>
                <w:bCs/>
                <w:color w:val="auto"/>
                <w:kern w:val="0"/>
                <w:sz w:val="21"/>
                <w:szCs w:val="21"/>
                <w:highlight w:val="none"/>
                <w:lang w:val="en-US" w:eastAsia="zh-CN" w:bidi="ar"/>
              </w:rPr>
              <w:t>上市后临床评价：</w:t>
            </w:r>
            <w:r>
              <w:rPr>
                <w:rFonts w:hint="default" w:ascii="Times New Roman" w:hAnsi="Times New Roman" w:eastAsia="仿宋" w:cs="Times New Roman"/>
                <w:b w:val="0"/>
                <w:bCs w:val="0"/>
                <w:color w:val="auto"/>
                <w:kern w:val="0"/>
                <w:sz w:val="21"/>
                <w:szCs w:val="21"/>
                <w:highlight w:val="none"/>
                <w:lang w:val="en-US" w:eastAsia="zh-CN" w:bidi="ar"/>
              </w:rPr>
              <w:t>鼓励医疗机构开展上市后临床评价研究。提交曾开展或上市后开展的报告及论文、文献等。</w:t>
            </w:r>
          </w:p>
        </w:tc>
        <w:tc>
          <w:tcPr>
            <w:tcW w:w="1040" w:type="dxa"/>
            <w:noWrap w:val="0"/>
            <w:vAlign w:val="center"/>
          </w:tcPr>
          <w:p w14:paraId="0EE34D3E">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kern w:val="0"/>
                <w:sz w:val="21"/>
                <w:szCs w:val="21"/>
                <w:highlight w:val="none"/>
                <w:lang w:val="en-US" w:eastAsia="zh-CN" w:bidi="ar"/>
              </w:rPr>
              <w:t>4</w:t>
            </w:r>
          </w:p>
        </w:tc>
        <w:tc>
          <w:tcPr>
            <w:tcW w:w="7114" w:type="dxa"/>
            <w:noWrap w:val="0"/>
            <w:vAlign w:val="center"/>
          </w:tcPr>
          <w:p w14:paraId="41738860">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1.临床和非临床均</w:t>
            </w:r>
            <w:r>
              <w:rPr>
                <w:rFonts w:hint="default" w:ascii="Times New Roman" w:hAnsi="Times New Roman" w:eastAsia="仿宋" w:cs="Times New Roman"/>
                <w:color w:val="auto"/>
                <w:sz w:val="21"/>
                <w:szCs w:val="21"/>
                <w:highlight w:val="none"/>
                <w:lang w:val="en-US" w:eastAsia="zh-CN"/>
              </w:rPr>
              <w:t>进行规范</w:t>
            </w:r>
            <w:r>
              <w:rPr>
                <w:rFonts w:hint="default" w:ascii="Times New Roman" w:hAnsi="Times New Roman" w:eastAsia="仿宋" w:cs="Times New Roman"/>
                <w:color w:val="auto"/>
                <w:sz w:val="21"/>
                <w:szCs w:val="21"/>
                <w:highlight w:val="none"/>
              </w:rPr>
              <w:t>开展</w:t>
            </w:r>
            <w:r>
              <w:rPr>
                <w:rFonts w:hint="default" w:ascii="Times New Roman" w:hAnsi="Times New Roman"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rPr>
              <w:t>，4 分；</w:t>
            </w:r>
          </w:p>
          <w:p w14:paraId="5EBAE8A7">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2.仅开展临床或非临床</w:t>
            </w:r>
            <w:r>
              <w:rPr>
                <w:rFonts w:hint="default" w:ascii="Times New Roman" w:hAnsi="Times New Roman"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rPr>
              <w:t>，1</w:t>
            </w:r>
            <w:r>
              <w:rPr>
                <w:rFonts w:hint="default" w:ascii="Times New Roman" w:hAnsi="Times New Roman" w:eastAsia="仿宋" w:cs="Times New Roman"/>
                <w:color w:val="auto"/>
                <w:sz w:val="21"/>
                <w:szCs w:val="21"/>
                <w:highlight w:val="none"/>
              </w:rPr>
              <w:noBreakHyphen/>
            </w:r>
            <w:r>
              <w:rPr>
                <w:rFonts w:hint="default" w:ascii="Times New Roman" w:hAnsi="Times New Roman" w:eastAsia="仿宋" w:cs="Times New Roman"/>
                <w:color w:val="auto"/>
                <w:sz w:val="21"/>
                <w:szCs w:val="21"/>
                <w:highlight w:val="none"/>
              </w:rPr>
              <w:t>3 分；</w:t>
            </w:r>
          </w:p>
          <w:p w14:paraId="54EDE8B5">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textAlignment w:val="auto"/>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3.未开展</w:t>
            </w:r>
            <w:r>
              <w:rPr>
                <w:rFonts w:hint="eastAsia"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rPr>
              <w:t>，0 分。</w:t>
            </w:r>
          </w:p>
        </w:tc>
      </w:tr>
      <w:tr w14:paraId="7C649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5DEAAA81">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208BC25C">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color w:val="auto"/>
                <w:kern w:val="0"/>
                <w:sz w:val="21"/>
                <w:szCs w:val="21"/>
                <w:highlight w:val="none"/>
                <w:lang w:val="en-US" w:eastAsia="zh-CN" w:bidi="ar"/>
              </w:rPr>
              <w:t>5</w:t>
            </w: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b/>
                <w:bCs/>
                <w:color w:val="auto"/>
                <w:kern w:val="0"/>
                <w:sz w:val="21"/>
                <w:szCs w:val="21"/>
                <w:highlight w:val="none"/>
                <w:lang w:val="en-US" w:eastAsia="zh-CN" w:bidi="ar"/>
              </w:rPr>
              <w:t>配制工艺：</w:t>
            </w:r>
            <w:r>
              <w:rPr>
                <w:rFonts w:hint="default" w:ascii="Times New Roman" w:hAnsi="Times New Roman" w:eastAsia="仿宋" w:cs="Times New Roman"/>
                <w:color w:val="auto"/>
                <w:kern w:val="0"/>
                <w:sz w:val="21"/>
                <w:szCs w:val="21"/>
                <w:highlight w:val="none"/>
                <w:lang w:bidi="ar"/>
              </w:rPr>
              <w:t>配制工艺路线合理，与大生产相关设备能顺利对接，具有实现大规模生产的可行性</w:t>
            </w:r>
            <w:r>
              <w:rPr>
                <w:rFonts w:hint="default" w:ascii="Times New Roman" w:hAnsi="Times New Roman" w:eastAsia="仿宋" w:cs="Times New Roman"/>
                <w:color w:val="auto"/>
                <w:kern w:val="0"/>
                <w:sz w:val="21"/>
                <w:szCs w:val="21"/>
                <w:highlight w:val="none"/>
                <w:lang w:eastAsia="zh-CN" w:bidi="ar"/>
              </w:rPr>
              <w:t>。</w:t>
            </w:r>
          </w:p>
        </w:tc>
        <w:tc>
          <w:tcPr>
            <w:tcW w:w="1040" w:type="dxa"/>
            <w:noWrap w:val="0"/>
            <w:vAlign w:val="center"/>
          </w:tcPr>
          <w:p w14:paraId="616AFDD0">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kern w:val="0"/>
                <w:sz w:val="21"/>
                <w:szCs w:val="21"/>
                <w:highlight w:val="none"/>
                <w:lang w:val="en-US" w:eastAsia="zh-CN" w:bidi="ar"/>
              </w:rPr>
              <w:t>4</w:t>
            </w:r>
          </w:p>
        </w:tc>
        <w:tc>
          <w:tcPr>
            <w:tcW w:w="7114" w:type="dxa"/>
            <w:noWrap w:val="0"/>
            <w:vAlign w:val="center"/>
          </w:tcPr>
          <w:p w14:paraId="3B1D522C">
            <w:pPr>
              <w:pStyle w:val="2"/>
              <w:keepNext w:val="0"/>
              <w:keepLines w:val="0"/>
              <w:pageBreakBefore w:val="0"/>
              <w:widowControl w:val="0"/>
              <w:numPr>
                <w:ilvl w:val="0"/>
                <w:numId w:val="0"/>
              </w:numPr>
              <w:kinsoku/>
              <w:wordWrap/>
              <w:overflowPunct/>
              <w:topLinePunct w:val="0"/>
              <w:autoSpaceDE/>
              <w:autoSpaceDN/>
              <w:bidi w:val="0"/>
              <w:adjustRightInd/>
              <w:snapToGrid/>
              <w:spacing w:after="0" w:line="280" w:lineRule="exact"/>
              <w:ind w:firstLine="420" w:firstLineChars="200"/>
              <w:jc w:val="both"/>
              <w:textAlignment w:val="auto"/>
              <w:rPr>
                <w:rFonts w:hint="default" w:ascii="Times New Roman" w:hAnsi="Times New Roman" w:eastAsia="仿宋" w:cs="Times New Roman"/>
                <w:b w:val="0"/>
                <w:bCs w:val="0"/>
                <w:color w:val="auto"/>
                <w:kern w:val="0"/>
                <w:sz w:val="21"/>
                <w:szCs w:val="21"/>
                <w:highlight w:val="none"/>
                <w:lang w:val="en-US" w:eastAsia="zh-CN" w:bidi="zh-CN"/>
              </w:rPr>
            </w:pPr>
            <w:r>
              <w:rPr>
                <w:rFonts w:hint="default" w:ascii="Times New Roman" w:hAnsi="Times New Roman" w:eastAsia="仿宋" w:cs="Times New Roman"/>
                <w:b w:val="0"/>
                <w:bCs w:val="0"/>
                <w:color w:val="auto"/>
                <w:kern w:val="0"/>
                <w:sz w:val="21"/>
                <w:szCs w:val="21"/>
                <w:highlight w:val="none"/>
                <w:lang w:val="en-US" w:eastAsia="zh-CN" w:bidi="zh-CN"/>
              </w:rPr>
              <w:t>1.配制工艺研究全面完整，工艺及关键参数资料</w:t>
            </w:r>
            <w:r>
              <w:rPr>
                <w:rFonts w:hint="eastAsia" w:eastAsia="仿宋" w:cs="Times New Roman"/>
                <w:b w:val="0"/>
                <w:bCs w:val="0"/>
                <w:color w:val="auto"/>
                <w:kern w:val="0"/>
                <w:sz w:val="21"/>
                <w:szCs w:val="21"/>
                <w:highlight w:val="none"/>
                <w:lang w:val="en-US" w:eastAsia="zh-CN" w:bidi="zh-CN"/>
              </w:rPr>
              <w:t>翔</w:t>
            </w:r>
            <w:r>
              <w:rPr>
                <w:rFonts w:hint="default" w:ascii="Times New Roman" w:hAnsi="Times New Roman" w:eastAsia="仿宋" w:cs="Times New Roman"/>
                <w:b w:val="0"/>
                <w:bCs w:val="0"/>
                <w:color w:val="auto"/>
                <w:kern w:val="0"/>
                <w:sz w:val="21"/>
                <w:szCs w:val="21"/>
                <w:highlight w:val="none"/>
                <w:lang w:val="en-US" w:eastAsia="zh-CN" w:bidi="zh-CN"/>
              </w:rPr>
              <w:t>实充分，工艺经过验证，制剂稳定性好的，3～4分；</w:t>
            </w:r>
          </w:p>
          <w:p w14:paraId="552E019A">
            <w:pPr>
              <w:pStyle w:val="2"/>
              <w:keepNext w:val="0"/>
              <w:keepLines w:val="0"/>
              <w:pageBreakBefore w:val="0"/>
              <w:widowControl w:val="0"/>
              <w:numPr>
                <w:ilvl w:val="0"/>
                <w:numId w:val="0"/>
              </w:numPr>
              <w:kinsoku/>
              <w:wordWrap/>
              <w:overflowPunct/>
              <w:topLinePunct w:val="0"/>
              <w:autoSpaceDE/>
              <w:autoSpaceDN/>
              <w:bidi w:val="0"/>
              <w:adjustRightInd/>
              <w:snapToGrid/>
              <w:spacing w:after="0" w:line="280" w:lineRule="exact"/>
              <w:ind w:firstLine="420" w:firstLineChars="200"/>
              <w:jc w:val="both"/>
              <w:textAlignment w:val="auto"/>
              <w:rPr>
                <w:rFonts w:hint="default" w:ascii="Times New Roman" w:hAnsi="Times New Roman" w:eastAsia="仿宋" w:cs="Times New Roman"/>
                <w:b w:val="0"/>
                <w:bCs w:val="0"/>
                <w:color w:val="auto"/>
                <w:sz w:val="21"/>
                <w:szCs w:val="21"/>
                <w:highlight w:val="none"/>
              </w:rPr>
            </w:pPr>
            <w:r>
              <w:rPr>
                <w:rFonts w:hint="default" w:ascii="Times New Roman" w:hAnsi="Times New Roman" w:eastAsia="仿宋" w:cs="Times New Roman"/>
                <w:b w:val="0"/>
                <w:bCs w:val="0"/>
                <w:color w:val="auto"/>
                <w:kern w:val="0"/>
                <w:sz w:val="21"/>
                <w:szCs w:val="21"/>
                <w:highlight w:val="none"/>
                <w:lang w:val="en-US" w:eastAsia="zh-CN" w:bidi="zh-CN"/>
              </w:rPr>
              <w:t>2.配制工艺及参数较为完善，制剂稳定性较好的，1～2分。</w:t>
            </w:r>
          </w:p>
        </w:tc>
      </w:tr>
      <w:tr w14:paraId="18756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58A7115E">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2C99CA38">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color w:val="auto"/>
                <w:kern w:val="0"/>
                <w:sz w:val="21"/>
                <w:szCs w:val="21"/>
                <w:highlight w:val="none"/>
                <w:lang w:val="en-US" w:eastAsia="zh-CN" w:bidi="ar"/>
              </w:rPr>
              <w:t>6</w:t>
            </w:r>
            <w:r>
              <w:rPr>
                <w:rFonts w:hint="default" w:ascii="Times New Roman" w:hAnsi="Times New Roman" w:eastAsia="仿宋" w:cs="Times New Roman"/>
                <w:color w:val="auto"/>
                <w:kern w:val="0"/>
                <w:sz w:val="21"/>
                <w:szCs w:val="21"/>
                <w:highlight w:val="none"/>
                <w:lang w:bidi="ar"/>
              </w:rPr>
              <w:t>）</w:t>
            </w:r>
            <w:r>
              <w:rPr>
                <w:rFonts w:hint="default" w:ascii="Times New Roman" w:hAnsi="Times New Roman" w:eastAsia="仿宋" w:cs="Times New Roman"/>
                <w:b/>
                <w:bCs/>
                <w:color w:val="auto"/>
                <w:kern w:val="0"/>
                <w:sz w:val="21"/>
                <w:szCs w:val="21"/>
                <w:highlight w:val="none"/>
                <w:lang w:val="en-US" w:eastAsia="zh-CN" w:bidi="ar"/>
              </w:rPr>
              <w:t>质量标准：</w:t>
            </w:r>
            <w:r>
              <w:rPr>
                <w:rFonts w:hint="default" w:ascii="Times New Roman" w:hAnsi="Times New Roman" w:eastAsia="仿宋" w:cs="Times New Roman"/>
                <w:b w:val="0"/>
                <w:bCs w:val="0"/>
                <w:color w:val="auto"/>
                <w:kern w:val="0"/>
                <w:sz w:val="21"/>
                <w:szCs w:val="21"/>
                <w:highlight w:val="none"/>
                <w:lang w:val="en-US" w:eastAsia="zh-CN" w:bidi="ar"/>
              </w:rPr>
              <w:t>提交现行质量标准；说明君、臣、佐、使的药味质量控制情况。</w:t>
            </w:r>
          </w:p>
        </w:tc>
        <w:tc>
          <w:tcPr>
            <w:tcW w:w="1040" w:type="dxa"/>
            <w:noWrap w:val="0"/>
            <w:vAlign w:val="center"/>
          </w:tcPr>
          <w:p w14:paraId="0897597B">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sz w:val="21"/>
                <w:szCs w:val="21"/>
                <w:highlight w:val="none"/>
                <w:lang w:eastAsia="zh-CN"/>
              </w:rPr>
            </w:pPr>
            <w:r>
              <w:rPr>
                <w:rFonts w:hint="default" w:ascii="Times New Roman" w:hAnsi="Times New Roman" w:eastAsia="仿宋" w:cs="Times New Roman"/>
                <w:b/>
                <w:bCs/>
                <w:color w:val="auto"/>
                <w:kern w:val="0"/>
                <w:sz w:val="21"/>
                <w:szCs w:val="21"/>
                <w:highlight w:val="none"/>
                <w:lang w:val="en-US" w:eastAsia="zh-CN" w:bidi="ar"/>
              </w:rPr>
              <w:t>8</w:t>
            </w:r>
          </w:p>
        </w:tc>
        <w:tc>
          <w:tcPr>
            <w:tcW w:w="7114" w:type="dxa"/>
            <w:noWrap w:val="0"/>
            <w:vAlign w:val="center"/>
          </w:tcPr>
          <w:p w14:paraId="509FA830">
            <w:pPr>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一、质量标准</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rPr>
              <w:t>含量测定</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项</w:t>
            </w:r>
            <w:r>
              <w:rPr>
                <w:rFonts w:hint="default" w:ascii="Times New Roman" w:hAnsi="Times New Roman" w:eastAsia="仿宋" w:cs="Times New Roman"/>
                <w:b/>
                <w:bCs/>
                <w:color w:val="auto"/>
                <w:sz w:val="21"/>
                <w:szCs w:val="21"/>
                <w:highlight w:val="none"/>
              </w:rPr>
              <w:t>指标情况</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3</w:t>
            </w:r>
            <w:r>
              <w:rPr>
                <w:rFonts w:hint="default" w:ascii="Times New Roman" w:hAnsi="Times New Roman" w:eastAsia="仿宋" w:cs="Times New Roman"/>
                <w:b/>
                <w:bCs/>
                <w:color w:val="auto"/>
                <w:sz w:val="21"/>
                <w:szCs w:val="21"/>
                <w:highlight w:val="none"/>
              </w:rPr>
              <w:t>分。</w:t>
            </w:r>
          </w:p>
          <w:p w14:paraId="70FC4234">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1.对君药</w:t>
            </w:r>
            <w:r>
              <w:rPr>
                <w:rFonts w:hint="default" w:ascii="Times New Roman" w:hAnsi="Times New Roman" w:eastAsia="仿宋" w:cs="Times New Roman"/>
                <w:color w:val="auto"/>
                <w:sz w:val="21"/>
                <w:szCs w:val="21"/>
                <w:highlight w:val="none"/>
                <w:lang w:eastAsia="zh-CN"/>
              </w:rPr>
              <w:t>、</w:t>
            </w:r>
            <w:r>
              <w:rPr>
                <w:rFonts w:hint="default" w:ascii="Times New Roman" w:hAnsi="Times New Roman" w:eastAsia="仿宋" w:cs="Times New Roman"/>
                <w:color w:val="auto"/>
                <w:sz w:val="21"/>
                <w:szCs w:val="21"/>
                <w:highlight w:val="none"/>
                <w:lang w:val="en-US" w:eastAsia="zh-CN"/>
              </w:rPr>
              <w:t>臣药制定</w:t>
            </w:r>
            <w:r>
              <w:rPr>
                <w:rFonts w:hint="default" w:ascii="Times New Roman" w:hAnsi="Times New Roman" w:eastAsia="仿宋" w:cs="Times New Roman"/>
                <w:color w:val="auto"/>
                <w:sz w:val="21"/>
                <w:szCs w:val="21"/>
                <w:highlight w:val="none"/>
              </w:rPr>
              <w:t>含量测定指标</w:t>
            </w:r>
            <w:r>
              <w:rPr>
                <w:rFonts w:hint="default" w:ascii="Times New Roman" w:hAnsi="Times New Roman" w:eastAsia="仿宋" w:cs="Times New Roman"/>
                <w:color w:val="auto"/>
                <w:sz w:val="21"/>
                <w:szCs w:val="21"/>
                <w:highlight w:val="none"/>
                <w:lang w:val="en-US" w:eastAsia="zh-CN"/>
              </w:rPr>
              <w:t>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 xml:space="preserve"> 分；</w:t>
            </w:r>
          </w:p>
          <w:p w14:paraId="1436E4E0">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2.对处方中其余药味制定含量测定</w:t>
            </w:r>
            <w:r>
              <w:rPr>
                <w:rFonts w:hint="default" w:ascii="Times New Roman" w:hAnsi="Times New Roman" w:eastAsia="仿宋" w:cs="Times New Roman"/>
                <w:color w:val="auto"/>
                <w:sz w:val="21"/>
                <w:szCs w:val="21"/>
                <w:highlight w:val="none"/>
                <w:lang w:val="en-US" w:eastAsia="zh-CN"/>
              </w:rPr>
              <w:t>指标的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rPr>
              <w:t>分。</w:t>
            </w:r>
          </w:p>
          <w:p w14:paraId="2403CA7D">
            <w:pPr>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rPr>
                <w:rFonts w:hint="default" w:ascii="Times New Roman" w:hAnsi="Times New Roman" w:eastAsia="仿宋" w:cs="Times New Roman"/>
                <w:b/>
                <w:bCs/>
                <w:color w:val="auto"/>
                <w:sz w:val="21"/>
                <w:szCs w:val="21"/>
                <w:highlight w:val="none"/>
              </w:rPr>
            </w:pPr>
            <w:r>
              <w:rPr>
                <w:rFonts w:hint="default" w:ascii="Times New Roman" w:hAnsi="Times New Roman" w:eastAsia="仿宋" w:cs="Times New Roman"/>
                <w:b/>
                <w:bCs/>
                <w:color w:val="auto"/>
                <w:sz w:val="21"/>
                <w:szCs w:val="21"/>
                <w:highlight w:val="none"/>
              </w:rPr>
              <w:t>二、质量标准</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rPr>
              <w:t>鉴别</w:t>
            </w:r>
            <w:r>
              <w:rPr>
                <w:rFonts w:hint="eastAsia"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项</w:t>
            </w:r>
            <w:r>
              <w:rPr>
                <w:rFonts w:hint="default" w:ascii="Times New Roman" w:hAnsi="Times New Roman" w:eastAsia="仿宋" w:cs="Times New Roman"/>
                <w:b/>
                <w:bCs/>
                <w:color w:val="auto"/>
                <w:sz w:val="21"/>
                <w:szCs w:val="21"/>
                <w:highlight w:val="none"/>
              </w:rPr>
              <w:t>指标情况</w:t>
            </w:r>
            <w:r>
              <w:rPr>
                <w:rFonts w:hint="default" w:ascii="Times New Roman" w:hAnsi="Times New Roman" w:eastAsia="仿宋" w:cs="Times New Roman"/>
                <w:b/>
                <w:bCs/>
                <w:color w:val="auto"/>
                <w:sz w:val="21"/>
                <w:szCs w:val="21"/>
                <w:highlight w:val="none"/>
                <w:lang w:eastAsia="zh-CN"/>
              </w:rPr>
              <w:t>，</w:t>
            </w:r>
            <w:r>
              <w:rPr>
                <w:rFonts w:hint="default" w:ascii="Times New Roman" w:hAnsi="Times New Roman" w:eastAsia="仿宋" w:cs="Times New Roman"/>
                <w:b/>
                <w:bCs/>
                <w:color w:val="auto"/>
                <w:sz w:val="21"/>
                <w:szCs w:val="21"/>
                <w:highlight w:val="none"/>
                <w:lang w:val="en-US" w:eastAsia="zh-CN"/>
              </w:rPr>
              <w:t>5</w:t>
            </w:r>
            <w:r>
              <w:rPr>
                <w:rFonts w:hint="default" w:ascii="Times New Roman" w:hAnsi="Times New Roman" w:eastAsia="仿宋" w:cs="Times New Roman"/>
                <w:b/>
                <w:bCs/>
                <w:color w:val="auto"/>
                <w:sz w:val="21"/>
                <w:szCs w:val="21"/>
                <w:highlight w:val="none"/>
              </w:rPr>
              <w:t>分。</w:t>
            </w:r>
          </w:p>
          <w:p w14:paraId="2B292352">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1.</w:t>
            </w:r>
            <w:r>
              <w:rPr>
                <w:rFonts w:hint="default" w:ascii="Times New Roman" w:hAnsi="Times New Roman" w:eastAsia="仿宋" w:cs="Times New Roman"/>
                <w:color w:val="auto"/>
                <w:sz w:val="21"/>
                <w:szCs w:val="21"/>
                <w:highlight w:val="none"/>
                <w:lang w:val="en-US" w:eastAsia="zh-CN"/>
              </w:rPr>
              <w:t>对处方药味10味及以上有3项鉴别，且包含君、臣药味的，或处方药味10味以下有2项鉴别，且包含君、臣药味的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5</w:t>
            </w:r>
            <w:r>
              <w:rPr>
                <w:rFonts w:hint="default" w:ascii="Times New Roman" w:hAnsi="Times New Roman" w:eastAsia="仿宋" w:cs="Times New Roman"/>
                <w:color w:val="auto"/>
                <w:sz w:val="21"/>
                <w:szCs w:val="21"/>
                <w:highlight w:val="none"/>
              </w:rPr>
              <w:t>分；</w:t>
            </w:r>
          </w:p>
          <w:p w14:paraId="4B3631A5">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color w:val="auto"/>
                <w:sz w:val="21"/>
                <w:szCs w:val="21"/>
                <w:highlight w:val="none"/>
              </w:rPr>
              <w:t>2.</w:t>
            </w:r>
            <w:r>
              <w:rPr>
                <w:rFonts w:hint="default" w:ascii="Times New Roman" w:hAnsi="Times New Roman" w:eastAsia="仿宋" w:cs="Times New Roman"/>
                <w:color w:val="auto"/>
                <w:sz w:val="21"/>
                <w:szCs w:val="21"/>
                <w:highlight w:val="none"/>
                <w:lang w:val="en-US" w:eastAsia="zh-CN"/>
              </w:rPr>
              <w:t>对处方药味10味及以上有3项鉴别，或处方药味10味以下有2项鉴别的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分；</w:t>
            </w:r>
          </w:p>
          <w:p w14:paraId="0A71DFB6">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lang w:eastAsia="zh-CN"/>
              </w:rPr>
            </w:pPr>
            <w:r>
              <w:rPr>
                <w:rFonts w:hint="default" w:ascii="Times New Roman" w:hAnsi="Times New Roman" w:eastAsia="仿宋" w:cs="Times New Roman"/>
                <w:color w:val="auto"/>
                <w:sz w:val="21"/>
                <w:szCs w:val="21"/>
                <w:highlight w:val="none"/>
                <w:lang w:val="en-US" w:eastAsia="zh-CN"/>
              </w:rPr>
              <w:t>3.对处方药味10味及以上有2项鉴别，且包含君、臣药味的，或处方药味10味以下有1项鉴别，且包含君、臣药味的</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3</w:t>
            </w:r>
            <w:r>
              <w:rPr>
                <w:rFonts w:hint="default" w:ascii="Times New Roman" w:hAnsi="Times New Roman" w:eastAsia="仿宋" w:cs="Times New Roman"/>
                <w:color w:val="auto"/>
                <w:sz w:val="21"/>
                <w:szCs w:val="21"/>
                <w:highlight w:val="none"/>
              </w:rPr>
              <w:t>分</w:t>
            </w:r>
            <w:r>
              <w:rPr>
                <w:rFonts w:hint="default" w:ascii="Times New Roman" w:hAnsi="Times New Roman" w:eastAsia="仿宋" w:cs="Times New Roman"/>
                <w:color w:val="auto"/>
                <w:sz w:val="21"/>
                <w:szCs w:val="21"/>
                <w:highlight w:val="none"/>
                <w:lang w:eastAsia="zh-CN"/>
              </w:rPr>
              <w:t>；</w:t>
            </w:r>
          </w:p>
          <w:p w14:paraId="5B49FBC6">
            <w:pPr>
              <w:keepNext w:val="0"/>
              <w:keepLines w:val="0"/>
              <w:pageBreakBefore w:val="0"/>
              <w:widowControl w:val="0"/>
              <w:kinsoku/>
              <w:wordWrap/>
              <w:overflowPunct/>
              <w:topLinePunct w:val="0"/>
              <w:autoSpaceDE/>
              <w:autoSpaceDN/>
              <w:bidi w:val="0"/>
              <w:adjustRightInd/>
              <w:snapToGrid/>
              <w:spacing w:line="280" w:lineRule="exact"/>
              <w:ind w:right="0" w:rightChars="0" w:firstLine="420" w:firstLineChars="200"/>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eastAsia="zh-CN"/>
              </w:rPr>
              <w:t>4.对处方药味10味及以上有2项鉴别，或处方药味10味以下有1项鉴别的，2分。</w:t>
            </w:r>
          </w:p>
        </w:tc>
      </w:tr>
      <w:tr w14:paraId="18BD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897" w:type="dxa"/>
            <w:vMerge w:val="restart"/>
            <w:noWrap w:val="0"/>
            <w:vAlign w:val="center"/>
          </w:tcPr>
          <w:p w14:paraId="7EE2915D">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_GB2312" w:cs="Times New Roman"/>
                <w:b/>
                <w:bCs/>
                <w:color w:val="auto"/>
                <w:sz w:val="21"/>
                <w:szCs w:val="21"/>
                <w:highlight w:val="none"/>
              </w:rPr>
            </w:pPr>
            <w:r>
              <w:rPr>
                <w:rFonts w:hint="default" w:ascii="Times New Roman" w:hAnsi="Times New Roman" w:eastAsia="仿宋_GB2312" w:cs="Times New Roman"/>
                <w:b/>
                <w:bCs/>
                <w:color w:val="auto"/>
                <w:sz w:val="21"/>
                <w:szCs w:val="21"/>
                <w:highlight w:val="none"/>
              </w:rPr>
              <w:t>加分项：新药转化评价（总分不超过</w:t>
            </w:r>
            <w:r>
              <w:rPr>
                <w:rFonts w:hint="eastAsia" w:eastAsia="仿宋_GB2312" w:cs="Times New Roman"/>
                <w:b/>
                <w:bCs/>
                <w:color w:val="auto"/>
                <w:sz w:val="21"/>
                <w:szCs w:val="21"/>
                <w:highlight w:val="none"/>
                <w:lang w:val="en-US" w:eastAsia="zh-CN"/>
              </w:rPr>
              <w:t>15</w:t>
            </w:r>
            <w:r>
              <w:rPr>
                <w:rFonts w:hint="default" w:ascii="Times New Roman" w:hAnsi="Times New Roman" w:eastAsia="仿宋_GB2312" w:cs="Times New Roman"/>
                <w:b/>
                <w:bCs/>
                <w:color w:val="auto"/>
                <w:sz w:val="21"/>
                <w:szCs w:val="21"/>
                <w:highlight w:val="none"/>
              </w:rPr>
              <w:t>分）</w:t>
            </w:r>
          </w:p>
        </w:tc>
        <w:tc>
          <w:tcPr>
            <w:tcW w:w="3833" w:type="dxa"/>
            <w:noWrap w:val="0"/>
            <w:vAlign w:val="center"/>
          </w:tcPr>
          <w:p w14:paraId="7FCBB0F5">
            <w:pPr>
              <w:pStyle w:val="10"/>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（1）</w:t>
            </w:r>
            <w:r>
              <w:rPr>
                <w:rFonts w:hint="default" w:ascii="Times New Roman" w:hAnsi="Times New Roman" w:eastAsia="仿宋" w:cs="Times New Roman"/>
                <w:b/>
                <w:bCs/>
                <w:color w:val="auto"/>
                <w:sz w:val="21"/>
                <w:szCs w:val="21"/>
                <w:highlight w:val="none"/>
                <w:lang w:val="en-US"/>
              </w:rPr>
              <w:t>已入选</w:t>
            </w:r>
            <w:r>
              <w:rPr>
                <w:rFonts w:hint="eastAsia" w:ascii="Times New Roman" w:hAnsi="Times New Roman" w:cs="Times New Roman"/>
                <w:b/>
                <w:bCs/>
                <w:color w:val="auto"/>
                <w:sz w:val="21"/>
                <w:szCs w:val="21"/>
                <w:highlight w:val="none"/>
                <w:lang w:val="en-US" w:eastAsia="zh-CN"/>
              </w:rPr>
              <w:t>我省</w:t>
            </w:r>
            <w:r>
              <w:rPr>
                <w:rFonts w:hint="default" w:ascii="Times New Roman" w:hAnsi="Times New Roman" w:eastAsia="仿宋" w:cs="Times New Roman"/>
                <w:b/>
                <w:bCs/>
                <w:color w:val="auto"/>
                <w:sz w:val="21"/>
                <w:szCs w:val="21"/>
                <w:highlight w:val="none"/>
                <w:lang w:val="en-US"/>
              </w:rPr>
              <w:t>省医保药品目录</w:t>
            </w:r>
          </w:p>
        </w:tc>
        <w:tc>
          <w:tcPr>
            <w:tcW w:w="1040" w:type="dxa"/>
            <w:noWrap w:val="0"/>
            <w:vAlign w:val="center"/>
          </w:tcPr>
          <w:p w14:paraId="2218492E">
            <w:pPr>
              <w:pStyle w:val="10"/>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2</w:t>
            </w:r>
          </w:p>
        </w:tc>
        <w:tc>
          <w:tcPr>
            <w:tcW w:w="7114" w:type="dxa"/>
            <w:noWrap w:val="0"/>
            <w:vAlign w:val="center"/>
          </w:tcPr>
          <w:p w14:paraId="12756EBE">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rPr>
              <w:t>已入选</w:t>
            </w:r>
            <w:r>
              <w:rPr>
                <w:rFonts w:hint="eastAsia" w:ascii="Times New Roman" w:hAnsi="Times New Roman" w:cs="Times New Roman"/>
                <w:b/>
                <w:bCs/>
                <w:color w:val="auto"/>
                <w:sz w:val="21"/>
                <w:szCs w:val="21"/>
                <w:highlight w:val="none"/>
                <w:lang w:val="en-US" w:eastAsia="zh-CN"/>
              </w:rPr>
              <w:t>我省</w:t>
            </w:r>
            <w:r>
              <w:rPr>
                <w:rFonts w:hint="default" w:ascii="Times New Roman" w:hAnsi="Times New Roman" w:eastAsia="仿宋" w:cs="Times New Roman"/>
                <w:b/>
                <w:bCs/>
                <w:color w:val="auto"/>
                <w:sz w:val="21"/>
                <w:szCs w:val="21"/>
                <w:highlight w:val="none"/>
                <w:lang w:val="en-US"/>
              </w:rPr>
              <w:t>省医保药品目录</w:t>
            </w:r>
            <w:r>
              <w:rPr>
                <w:rFonts w:hint="eastAsia" w:ascii="Times New Roman" w:hAnsi="Times New Roman" w:cs="Times New Roman"/>
                <w:b/>
                <w:bCs/>
                <w:color w:val="auto"/>
                <w:sz w:val="21"/>
                <w:szCs w:val="21"/>
                <w:highlight w:val="none"/>
                <w:lang w:val="en-US" w:eastAsia="zh-CN"/>
              </w:rPr>
              <w:t>的</w:t>
            </w:r>
            <w:r>
              <w:rPr>
                <w:rFonts w:hint="default" w:ascii="Times New Roman" w:hAnsi="Times New Roman" w:eastAsia="仿宋" w:cs="Times New Roman"/>
                <w:b/>
                <w:bCs/>
                <w:color w:val="auto"/>
                <w:sz w:val="21"/>
                <w:szCs w:val="21"/>
                <w:highlight w:val="none"/>
                <w:lang w:val="en-US" w:eastAsia="zh-CN"/>
              </w:rPr>
              <w:t>，2分。</w:t>
            </w:r>
          </w:p>
        </w:tc>
      </w:tr>
      <w:tr w14:paraId="53E2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0C9ADAA0">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0197EA25">
            <w:pPr>
              <w:pStyle w:val="10"/>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 w:cs="Times New Roman"/>
                <w:color w:val="auto"/>
                <w:sz w:val="21"/>
                <w:szCs w:val="21"/>
                <w:highlight w:val="none"/>
                <w:lang w:val="en-US" w:eastAsia="zh-CN"/>
              </w:rPr>
            </w:pPr>
            <w:r>
              <w:rPr>
                <w:rFonts w:hint="default" w:ascii="Times New Roman" w:hAnsi="Times New Roman" w:eastAsia="仿宋" w:cs="Times New Roman"/>
                <w:color w:val="auto"/>
                <w:sz w:val="21"/>
                <w:szCs w:val="21"/>
                <w:highlight w:val="none"/>
                <w:lang w:val="en-US"/>
              </w:rPr>
              <w:t>（</w:t>
            </w:r>
            <w:r>
              <w:rPr>
                <w:rFonts w:hint="default" w:ascii="Times New Roman" w:hAnsi="Times New Roman" w:eastAsia="仿宋" w:cs="Times New Roman"/>
                <w:color w:val="auto"/>
                <w:sz w:val="21"/>
                <w:szCs w:val="21"/>
                <w:highlight w:val="none"/>
                <w:lang w:val="en-US" w:eastAsia="zh-CN"/>
              </w:rPr>
              <w:t>2</w:t>
            </w:r>
            <w:r>
              <w:rPr>
                <w:rFonts w:hint="default" w:ascii="Times New Roman" w:hAnsi="Times New Roman" w:eastAsia="仿宋" w:cs="Times New Roman"/>
                <w:color w:val="auto"/>
                <w:sz w:val="21"/>
                <w:szCs w:val="21"/>
                <w:highlight w:val="none"/>
                <w:lang w:val="en-US"/>
              </w:rPr>
              <w:t>）</w:t>
            </w:r>
            <w:r>
              <w:rPr>
                <w:rFonts w:hint="default" w:ascii="Times New Roman" w:hAnsi="Times New Roman" w:eastAsia="仿宋" w:cs="Times New Roman"/>
                <w:b/>
                <w:bCs/>
                <w:color w:val="auto"/>
                <w:sz w:val="21"/>
                <w:szCs w:val="21"/>
                <w:highlight w:val="none"/>
                <w:lang w:val="en-US"/>
              </w:rPr>
              <w:t>制剂已获得处方组方、工艺发明专利</w:t>
            </w:r>
          </w:p>
        </w:tc>
        <w:tc>
          <w:tcPr>
            <w:tcW w:w="1040" w:type="dxa"/>
            <w:noWrap w:val="0"/>
            <w:vAlign w:val="center"/>
          </w:tcPr>
          <w:p w14:paraId="67DB48A2">
            <w:pPr>
              <w:pStyle w:val="10"/>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2</w:t>
            </w:r>
          </w:p>
        </w:tc>
        <w:tc>
          <w:tcPr>
            <w:tcW w:w="7114" w:type="dxa"/>
            <w:noWrap w:val="0"/>
            <w:vAlign w:val="center"/>
          </w:tcPr>
          <w:p w14:paraId="7B0D966A">
            <w:pPr>
              <w:pStyle w:val="10"/>
              <w:keepNext w:val="0"/>
              <w:keepLines w:val="0"/>
              <w:pageBreakBefore w:val="0"/>
              <w:widowControl w:val="0"/>
              <w:kinsoku/>
              <w:wordWrap/>
              <w:overflowPunct/>
              <w:topLinePunct w:val="0"/>
              <w:autoSpaceDE/>
              <w:autoSpaceDN/>
              <w:bidi w:val="0"/>
              <w:adjustRightInd/>
              <w:snapToGrid/>
              <w:spacing w:line="280" w:lineRule="exact"/>
              <w:ind w:right="0" w:rightChars="0" w:firstLine="422" w:firstLineChars="200"/>
              <w:jc w:val="both"/>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b/>
                <w:bCs/>
                <w:color w:val="auto"/>
                <w:sz w:val="21"/>
                <w:szCs w:val="21"/>
                <w:highlight w:val="none"/>
                <w:lang w:val="en-US"/>
              </w:rPr>
              <w:t>按专利、知识产权证明材料综合评分</w:t>
            </w:r>
            <w:r>
              <w:rPr>
                <w:rFonts w:hint="default" w:ascii="Times New Roman" w:hAnsi="Times New Roman" w:eastAsia="仿宋" w:cs="Times New Roman"/>
                <w:b/>
                <w:bCs/>
                <w:color w:val="auto"/>
                <w:sz w:val="21"/>
                <w:szCs w:val="21"/>
                <w:highlight w:val="none"/>
                <w:lang w:val="en-US" w:eastAsia="zh-CN"/>
              </w:rPr>
              <w:t>，2分</w:t>
            </w:r>
            <w:r>
              <w:rPr>
                <w:rFonts w:hint="default" w:ascii="Times New Roman" w:hAnsi="Times New Roman" w:eastAsia="仿宋" w:cs="Times New Roman"/>
                <w:b/>
                <w:bCs/>
                <w:color w:val="auto"/>
                <w:sz w:val="21"/>
                <w:szCs w:val="21"/>
                <w:highlight w:val="none"/>
                <w:lang w:val="en-US"/>
              </w:rPr>
              <w:t>。</w:t>
            </w:r>
          </w:p>
        </w:tc>
      </w:tr>
      <w:tr w14:paraId="7CC6A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0" w:hRule="atLeast"/>
          <w:jc w:val="center"/>
        </w:trPr>
        <w:tc>
          <w:tcPr>
            <w:tcW w:w="1897" w:type="dxa"/>
            <w:vMerge w:val="continue"/>
            <w:noWrap w:val="0"/>
            <w:vAlign w:val="center"/>
          </w:tcPr>
          <w:p w14:paraId="113F3189">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shd w:val="clear" w:color="auto" w:fill="auto"/>
            <w:noWrap w:val="0"/>
            <w:vAlign w:val="center"/>
          </w:tcPr>
          <w:p w14:paraId="6BD3173B">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b/>
                <w:bCs/>
                <w:color w:val="auto"/>
                <w:sz w:val="21"/>
                <w:szCs w:val="21"/>
                <w:highlight w:val="none"/>
                <w:lang w:val="en-US" w:eastAsia="zh-CN"/>
              </w:rPr>
              <w:t>（3）申报制剂品种相关研究获得国家级或省、部级科技成果奖三等奖及以上</w:t>
            </w:r>
          </w:p>
        </w:tc>
        <w:tc>
          <w:tcPr>
            <w:tcW w:w="1040" w:type="dxa"/>
            <w:shd w:val="clear" w:color="auto" w:fill="auto"/>
            <w:noWrap w:val="0"/>
            <w:vAlign w:val="center"/>
          </w:tcPr>
          <w:p w14:paraId="0BC50C81">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kern w:val="0"/>
                <w:sz w:val="21"/>
                <w:szCs w:val="21"/>
                <w:highlight w:val="none"/>
                <w:lang w:val="en-US" w:eastAsia="zh-CN" w:bidi="ar"/>
              </w:rPr>
            </w:pPr>
            <w:r>
              <w:rPr>
                <w:rFonts w:hint="default" w:ascii="Times New Roman" w:hAnsi="Times New Roman" w:eastAsia="仿宋" w:cs="Times New Roman"/>
                <w:b/>
                <w:bCs/>
                <w:color w:val="auto"/>
                <w:kern w:val="0"/>
                <w:sz w:val="21"/>
                <w:szCs w:val="21"/>
                <w:highlight w:val="none"/>
                <w:lang w:val="en-US" w:eastAsia="zh-CN" w:bidi="ar"/>
              </w:rPr>
              <w:t>4</w:t>
            </w:r>
          </w:p>
        </w:tc>
        <w:tc>
          <w:tcPr>
            <w:tcW w:w="7114" w:type="dxa"/>
            <w:shd w:val="clear" w:color="auto" w:fill="auto"/>
            <w:noWrap w:val="0"/>
            <w:vAlign w:val="center"/>
          </w:tcPr>
          <w:p w14:paraId="1C68907E">
            <w:pPr>
              <w:pStyle w:val="2"/>
              <w:keepNext w:val="0"/>
              <w:keepLines w:val="0"/>
              <w:pageBreakBefore w:val="0"/>
              <w:widowControl w:val="0"/>
              <w:kinsoku/>
              <w:wordWrap/>
              <w:overflowPunct/>
              <w:topLinePunct w:val="0"/>
              <w:autoSpaceDE/>
              <w:autoSpaceDN/>
              <w:bidi w:val="0"/>
              <w:adjustRightInd/>
              <w:snapToGrid/>
              <w:spacing w:after="0" w:line="280" w:lineRule="exact"/>
              <w:ind w:firstLine="422" w:firstLineChars="200"/>
              <w:jc w:val="both"/>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一、国家级，4分。</w:t>
            </w:r>
          </w:p>
          <w:p w14:paraId="4748860C">
            <w:pPr>
              <w:pStyle w:val="2"/>
              <w:keepNext w:val="0"/>
              <w:keepLines w:val="0"/>
              <w:pageBreakBefore w:val="0"/>
              <w:widowControl w:val="0"/>
              <w:kinsoku/>
              <w:wordWrap/>
              <w:overflowPunct/>
              <w:topLinePunct w:val="0"/>
              <w:autoSpaceDE/>
              <w:autoSpaceDN/>
              <w:bidi w:val="0"/>
              <w:adjustRightInd/>
              <w:snapToGrid/>
              <w:spacing w:after="0" w:line="280" w:lineRule="exact"/>
              <w:ind w:firstLine="420" w:firstLineChars="200"/>
              <w:jc w:val="both"/>
              <w:textAlignment w:val="auto"/>
              <w:rPr>
                <w:rFonts w:hint="default" w:ascii="Times New Roman" w:hAnsi="Times New Roman" w:eastAsia="仿宋" w:cs="Times New Roman"/>
                <w:b w:val="0"/>
                <w:bCs w:val="0"/>
                <w:color w:val="auto"/>
                <w:sz w:val="21"/>
                <w:szCs w:val="21"/>
                <w:highlight w:val="none"/>
                <w:lang w:val="en-US" w:eastAsia="zh-CN"/>
              </w:rPr>
            </w:pPr>
            <w:r>
              <w:rPr>
                <w:rFonts w:hint="default" w:ascii="Times New Roman" w:hAnsi="Times New Roman" w:eastAsia="仿宋" w:cs="Times New Roman"/>
                <w:b w:val="0"/>
                <w:bCs w:val="0"/>
                <w:color w:val="auto"/>
                <w:sz w:val="21"/>
                <w:szCs w:val="21"/>
                <w:highlight w:val="none"/>
                <w:lang w:val="en-US" w:eastAsia="zh-CN"/>
              </w:rPr>
              <w:t>1.一等奖，4分；2. 二等奖，3分；3. 三等奖，2分。</w:t>
            </w:r>
          </w:p>
          <w:p w14:paraId="1213F2C2">
            <w:pPr>
              <w:pStyle w:val="2"/>
              <w:keepNext w:val="0"/>
              <w:keepLines w:val="0"/>
              <w:pageBreakBefore w:val="0"/>
              <w:widowControl w:val="0"/>
              <w:kinsoku/>
              <w:wordWrap/>
              <w:overflowPunct/>
              <w:topLinePunct w:val="0"/>
              <w:autoSpaceDE/>
              <w:autoSpaceDN/>
              <w:bidi w:val="0"/>
              <w:adjustRightInd/>
              <w:snapToGrid/>
              <w:spacing w:after="0" w:line="280" w:lineRule="exact"/>
              <w:ind w:firstLine="422" w:firstLineChars="200"/>
              <w:jc w:val="both"/>
              <w:textAlignment w:val="auto"/>
              <w:rPr>
                <w:rFonts w:hint="default" w:ascii="Times New Roman" w:hAnsi="Times New Roman" w:eastAsia="仿宋" w:cs="Times New Roman"/>
                <w:b/>
                <w:bCs/>
                <w:color w:val="auto"/>
                <w:sz w:val="21"/>
                <w:szCs w:val="21"/>
                <w:highlight w:val="none"/>
                <w:lang w:val="en-US" w:eastAsia="zh-CN"/>
              </w:rPr>
            </w:pPr>
            <w:r>
              <w:rPr>
                <w:rFonts w:hint="default" w:ascii="Times New Roman" w:hAnsi="Times New Roman" w:eastAsia="仿宋" w:cs="Times New Roman"/>
                <w:b/>
                <w:bCs/>
                <w:color w:val="auto"/>
                <w:sz w:val="21"/>
                <w:szCs w:val="21"/>
                <w:highlight w:val="none"/>
                <w:lang w:val="en-US" w:eastAsia="zh-CN"/>
              </w:rPr>
              <w:t>二、省、部级，3分。</w:t>
            </w:r>
          </w:p>
          <w:p w14:paraId="49FA5263">
            <w:pPr>
              <w:pStyle w:val="2"/>
              <w:keepNext w:val="0"/>
              <w:keepLines w:val="0"/>
              <w:pageBreakBefore w:val="0"/>
              <w:widowControl w:val="0"/>
              <w:kinsoku/>
              <w:wordWrap/>
              <w:overflowPunct/>
              <w:topLinePunct w:val="0"/>
              <w:autoSpaceDE/>
              <w:autoSpaceDN/>
              <w:bidi w:val="0"/>
              <w:adjustRightInd/>
              <w:snapToGrid/>
              <w:spacing w:after="0" w:line="280" w:lineRule="exact"/>
              <w:ind w:firstLine="420" w:firstLineChars="200"/>
              <w:jc w:val="both"/>
              <w:textAlignment w:val="auto"/>
              <w:rPr>
                <w:rFonts w:hint="default" w:ascii="Times New Roman" w:hAnsi="Times New Roman" w:eastAsia="仿宋" w:cs="Times New Roman"/>
                <w:b w:val="0"/>
                <w:bCs w:val="0"/>
                <w:color w:val="auto"/>
                <w:kern w:val="2"/>
                <w:sz w:val="21"/>
                <w:szCs w:val="21"/>
                <w:highlight w:val="none"/>
                <w:lang w:val="en-US" w:eastAsia="zh-CN" w:bidi="ar-SA"/>
              </w:rPr>
            </w:pPr>
            <w:r>
              <w:rPr>
                <w:rFonts w:hint="default" w:ascii="Times New Roman" w:hAnsi="Times New Roman" w:eastAsia="仿宋" w:cs="Times New Roman"/>
                <w:b w:val="0"/>
                <w:bCs w:val="0"/>
                <w:color w:val="auto"/>
                <w:sz w:val="21"/>
                <w:szCs w:val="21"/>
                <w:highlight w:val="none"/>
                <w:lang w:val="en-US" w:eastAsia="zh-CN"/>
              </w:rPr>
              <w:t>1.一等奖，3分；2. 二等奖，2分；3. 三等奖，1分。</w:t>
            </w:r>
          </w:p>
        </w:tc>
      </w:tr>
      <w:tr w14:paraId="112B0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897" w:type="dxa"/>
            <w:vMerge w:val="continue"/>
            <w:noWrap w:val="0"/>
            <w:vAlign w:val="center"/>
          </w:tcPr>
          <w:p w14:paraId="00893A34">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42B5067D">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Style w:val="8"/>
                <w:rFonts w:hint="default" w:ascii="Times New Roman" w:hAnsi="Times New Roman" w:eastAsia="仿宋" w:cs="Times New Roman"/>
                <w:color w:val="auto"/>
                <w:sz w:val="21"/>
                <w:szCs w:val="21"/>
                <w:highlight w:val="none"/>
                <w:lang w:bidi="ar"/>
              </w:rPr>
            </w:pP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color w:val="auto"/>
                <w:sz w:val="21"/>
                <w:szCs w:val="21"/>
                <w:highlight w:val="none"/>
                <w:lang w:val="en-US" w:eastAsia="zh-CN"/>
              </w:rPr>
              <w:t>4</w:t>
            </w:r>
            <w:r>
              <w:rPr>
                <w:rFonts w:hint="default" w:ascii="Times New Roman" w:hAnsi="Times New Roman" w:eastAsia="仿宋" w:cs="Times New Roman"/>
                <w:color w:val="auto"/>
                <w:sz w:val="21"/>
                <w:szCs w:val="21"/>
                <w:highlight w:val="none"/>
              </w:rPr>
              <w:t>）</w:t>
            </w:r>
            <w:r>
              <w:rPr>
                <w:rFonts w:hint="default" w:ascii="Times New Roman" w:hAnsi="Times New Roman" w:eastAsia="仿宋" w:cs="Times New Roman"/>
                <w:b/>
                <w:bCs/>
                <w:color w:val="auto"/>
                <w:sz w:val="21"/>
                <w:szCs w:val="21"/>
                <w:highlight w:val="none"/>
              </w:rPr>
              <w:t>新药转化可行性高</w:t>
            </w:r>
          </w:p>
        </w:tc>
        <w:tc>
          <w:tcPr>
            <w:tcW w:w="1040" w:type="dxa"/>
            <w:noWrap w:val="0"/>
            <w:vAlign w:val="center"/>
          </w:tcPr>
          <w:p w14:paraId="0EA4C3BA">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kern w:val="0"/>
                <w:sz w:val="21"/>
                <w:szCs w:val="21"/>
                <w:highlight w:val="none"/>
                <w:lang w:eastAsia="zh-CN" w:bidi="ar"/>
              </w:rPr>
            </w:pPr>
            <w:r>
              <w:rPr>
                <w:rFonts w:hint="default" w:ascii="Times New Roman" w:hAnsi="Times New Roman" w:eastAsia="仿宋" w:cs="Times New Roman"/>
                <w:b/>
                <w:bCs/>
                <w:color w:val="auto"/>
                <w:kern w:val="0"/>
                <w:sz w:val="21"/>
                <w:szCs w:val="21"/>
                <w:highlight w:val="none"/>
                <w:lang w:val="en-US" w:eastAsia="zh-CN" w:bidi="ar"/>
              </w:rPr>
              <w:t>4</w:t>
            </w:r>
          </w:p>
        </w:tc>
        <w:tc>
          <w:tcPr>
            <w:tcW w:w="7114" w:type="dxa"/>
            <w:noWrap w:val="0"/>
            <w:vAlign w:val="center"/>
          </w:tcPr>
          <w:p w14:paraId="3FB050B0">
            <w:pPr>
              <w:keepNext w:val="0"/>
              <w:keepLines w:val="0"/>
              <w:pageBreakBefore w:val="0"/>
              <w:widowControl w:val="0"/>
              <w:numPr>
                <w:ilvl w:val="0"/>
                <w:numId w:val="4"/>
              </w:numPr>
              <w:kinsoku/>
              <w:wordWrap/>
              <w:overflowPunct/>
              <w:topLinePunct w:val="0"/>
              <w:autoSpaceDE/>
              <w:autoSpaceDN/>
              <w:bidi w:val="0"/>
              <w:adjustRightInd/>
              <w:snapToGrid/>
              <w:spacing w:line="280" w:lineRule="exact"/>
              <w:ind w:right="0" w:rightChars="0" w:firstLine="420" w:firstLineChars="200"/>
              <w:jc w:val="both"/>
              <w:textAlignment w:val="center"/>
              <w:rPr>
                <w:rFonts w:hint="default" w:ascii="Times New Roman" w:hAnsi="Times New Roman" w:eastAsia="仿宋" w:cs="Times New Roman"/>
                <w:color w:val="auto"/>
                <w:sz w:val="21"/>
                <w:szCs w:val="21"/>
                <w:lang w:val="en-US" w:eastAsia="zh-CN"/>
              </w:rPr>
            </w:pPr>
            <w:r>
              <w:rPr>
                <w:rFonts w:hint="default" w:ascii="Times New Roman" w:hAnsi="Times New Roman" w:eastAsia="仿宋" w:cs="Times New Roman"/>
                <w:b w:val="0"/>
                <w:bCs w:val="0"/>
                <w:color w:val="auto"/>
                <w:sz w:val="21"/>
                <w:szCs w:val="21"/>
                <w:highlight w:val="none"/>
                <w:lang w:val="en-US" w:eastAsia="zh-CN"/>
              </w:rPr>
              <w:t>近3年已取得药物临床试验批件的，4分；2. 积极开展新药研究，可提供相应研究资料的，2分。</w:t>
            </w:r>
          </w:p>
        </w:tc>
      </w:tr>
      <w:tr w14:paraId="3134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97" w:type="dxa"/>
            <w:vMerge w:val="continue"/>
            <w:noWrap w:val="0"/>
            <w:vAlign w:val="center"/>
          </w:tcPr>
          <w:p w14:paraId="69CC4024">
            <w:pPr>
              <w:keepNext w:val="0"/>
              <w:keepLines w:val="0"/>
              <w:pageBreakBefore w:val="0"/>
              <w:widowControl w:val="0"/>
              <w:kinsoku/>
              <w:wordWrap/>
              <w:overflowPunct/>
              <w:topLinePunct w:val="0"/>
              <w:autoSpaceDE/>
              <w:autoSpaceDN/>
              <w:bidi w:val="0"/>
              <w:adjustRightInd/>
              <w:snapToGrid/>
              <w:spacing w:line="280" w:lineRule="exact"/>
              <w:ind w:right="0" w:rightChars="0"/>
              <w:jc w:val="both"/>
              <w:rPr>
                <w:rFonts w:hint="default" w:ascii="Times New Roman" w:hAnsi="Times New Roman" w:eastAsia="仿宋_GB2312" w:cs="Times New Roman"/>
                <w:b/>
                <w:bCs/>
                <w:color w:val="auto"/>
                <w:sz w:val="21"/>
                <w:szCs w:val="21"/>
                <w:highlight w:val="none"/>
              </w:rPr>
            </w:pPr>
          </w:p>
        </w:tc>
        <w:tc>
          <w:tcPr>
            <w:tcW w:w="3833" w:type="dxa"/>
            <w:noWrap w:val="0"/>
            <w:vAlign w:val="center"/>
          </w:tcPr>
          <w:p w14:paraId="50027EDB">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color w:val="auto"/>
                <w:sz w:val="21"/>
                <w:szCs w:val="21"/>
                <w:highlight w:val="none"/>
              </w:rPr>
            </w:pPr>
            <w:r>
              <w:rPr>
                <w:rFonts w:hint="default" w:ascii="Times New Roman" w:hAnsi="Times New Roman" w:eastAsia="仿宋" w:cs="Times New Roman"/>
                <w:b/>
                <w:bCs/>
                <w:color w:val="auto"/>
                <w:sz w:val="21"/>
                <w:szCs w:val="21"/>
                <w:highlight w:val="none"/>
              </w:rPr>
              <w:t>（</w:t>
            </w:r>
            <w:r>
              <w:rPr>
                <w:rFonts w:hint="default" w:ascii="Times New Roman" w:hAnsi="Times New Roman" w:eastAsia="仿宋" w:cs="Times New Roman"/>
                <w:b/>
                <w:bCs/>
                <w:color w:val="auto"/>
                <w:sz w:val="21"/>
                <w:szCs w:val="21"/>
                <w:highlight w:val="none"/>
                <w:lang w:val="en-US" w:eastAsia="zh-CN"/>
              </w:rPr>
              <w:t>5</w:t>
            </w:r>
            <w:r>
              <w:rPr>
                <w:rFonts w:hint="default" w:ascii="Times New Roman" w:hAnsi="Times New Roman" w:eastAsia="仿宋" w:cs="Times New Roman"/>
                <w:b/>
                <w:bCs/>
                <w:color w:val="auto"/>
                <w:sz w:val="21"/>
                <w:szCs w:val="21"/>
                <w:highlight w:val="none"/>
              </w:rPr>
              <w:t>）对生产工艺及制剂质量提升开展相应研究</w:t>
            </w:r>
          </w:p>
        </w:tc>
        <w:tc>
          <w:tcPr>
            <w:tcW w:w="1040" w:type="dxa"/>
            <w:noWrap w:val="0"/>
            <w:vAlign w:val="center"/>
          </w:tcPr>
          <w:p w14:paraId="3FA3BDAC">
            <w:pPr>
              <w:keepNext w:val="0"/>
              <w:keepLines w:val="0"/>
              <w:pageBreakBefore w:val="0"/>
              <w:widowControl w:val="0"/>
              <w:kinsoku/>
              <w:wordWrap/>
              <w:overflowPunct/>
              <w:topLinePunct w:val="0"/>
              <w:autoSpaceDE/>
              <w:autoSpaceDN/>
              <w:bidi w:val="0"/>
              <w:adjustRightInd/>
              <w:snapToGrid/>
              <w:spacing w:line="280" w:lineRule="exact"/>
              <w:ind w:right="0" w:rightChars="0"/>
              <w:jc w:val="both"/>
              <w:textAlignment w:val="center"/>
              <w:rPr>
                <w:rFonts w:hint="default" w:ascii="Times New Roman" w:hAnsi="Times New Roman" w:eastAsia="仿宋" w:cs="Times New Roman"/>
                <w:b/>
                <w:bCs/>
                <w:color w:val="auto"/>
                <w:kern w:val="0"/>
                <w:sz w:val="21"/>
                <w:szCs w:val="21"/>
                <w:highlight w:val="none"/>
                <w:lang w:val="en-US" w:eastAsia="zh-CN" w:bidi="ar"/>
              </w:rPr>
            </w:pPr>
            <w:r>
              <w:rPr>
                <w:rFonts w:hint="default" w:ascii="Times New Roman" w:hAnsi="Times New Roman" w:eastAsia="仿宋" w:cs="Times New Roman"/>
                <w:b/>
                <w:bCs/>
                <w:color w:val="auto"/>
                <w:kern w:val="0"/>
                <w:sz w:val="21"/>
                <w:szCs w:val="21"/>
                <w:highlight w:val="none"/>
                <w:lang w:val="en-US" w:eastAsia="zh-CN" w:bidi="ar"/>
              </w:rPr>
              <w:t>3</w:t>
            </w:r>
          </w:p>
        </w:tc>
        <w:tc>
          <w:tcPr>
            <w:tcW w:w="7114" w:type="dxa"/>
            <w:noWrap w:val="0"/>
            <w:vAlign w:val="center"/>
          </w:tcPr>
          <w:p w14:paraId="2F0C8054">
            <w:pPr>
              <w:pStyle w:val="2"/>
              <w:keepNext w:val="0"/>
              <w:keepLines w:val="0"/>
              <w:pageBreakBefore w:val="0"/>
              <w:widowControl w:val="0"/>
              <w:kinsoku/>
              <w:wordWrap/>
              <w:overflowPunct/>
              <w:topLinePunct w:val="0"/>
              <w:autoSpaceDE/>
              <w:autoSpaceDN/>
              <w:bidi w:val="0"/>
              <w:adjustRightInd/>
              <w:snapToGrid/>
              <w:spacing w:line="280" w:lineRule="exact"/>
              <w:ind w:firstLine="420" w:firstLineChars="200"/>
              <w:jc w:val="both"/>
              <w:rPr>
                <w:rFonts w:hint="default" w:ascii="Times New Roman" w:hAnsi="Times New Roman" w:eastAsia="仿宋" w:cs="Times New Roman"/>
                <w:b w:val="0"/>
                <w:bCs w:val="0"/>
                <w:color w:val="auto"/>
                <w:sz w:val="21"/>
                <w:szCs w:val="21"/>
              </w:rPr>
            </w:pPr>
            <w:r>
              <w:rPr>
                <w:rFonts w:hint="default" w:ascii="Times New Roman" w:hAnsi="Times New Roman" w:eastAsia="仿宋" w:cs="Times New Roman"/>
                <w:b w:val="0"/>
                <w:bCs w:val="0"/>
                <w:color w:val="auto"/>
                <w:sz w:val="21"/>
                <w:szCs w:val="21"/>
                <w:highlight w:val="none"/>
                <w:lang w:val="en-US" w:eastAsia="zh-CN"/>
              </w:rPr>
              <w:t>1. 上市后继续开展生产工艺及制剂质量提升研究，并取得相应成果的，2～3分；2. 上市后继续开展生产工艺及制剂质量提升研究，可提供研究资料，但未取得相应成果的，1分。</w:t>
            </w:r>
          </w:p>
        </w:tc>
      </w:tr>
    </w:tbl>
    <w:p w14:paraId="36E0DE9D">
      <w:pPr>
        <w:pStyle w:val="2"/>
        <w:keepNext w:val="0"/>
        <w:keepLines w:val="0"/>
        <w:pageBreakBefore w:val="0"/>
        <w:widowControl w:val="0"/>
        <w:kinsoku/>
        <w:wordWrap/>
        <w:overflowPunct/>
        <w:topLinePunct w:val="0"/>
        <w:autoSpaceDE/>
        <w:autoSpaceDN/>
        <w:bidi w:val="0"/>
        <w:adjustRightInd/>
        <w:snapToGrid/>
        <w:spacing w:after="0" w:line="240" w:lineRule="auto"/>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备注：1.以1或0.5评分；</w:t>
      </w:r>
    </w:p>
    <w:p w14:paraId="5A9C79A5">
      <w:pPr>
        <w:pStyle w:val="2"/>
        <w:keepNext w:val="0"/>
        <w:keepLines w:val="0"/>
        <w:pageBreakBefore w:val="0"/>
        <w:widowControl w:val="0"/>
        <w:kinsoku/>
        <w:wordWrap/>
        <w:overflowPunct/>
        <w:topLinePunct w:val="0"/>
        <w:autoSpaceDE/>
        <w:autoSpaceDN/>
        <w:bidi w:val="0"/>
        <w:adjustRightInd/>
        <w:snapToGrid/>
        <w:spacing w:after="0" w:line="240" w:lineRule="auto"/>
        <w:ind w:firstLine="630" w:firstLineChars="300"/>
        <w:textAlignment w:val="auto"/>
        <w:rPr>
          <w:rFonts w:hint="default" w:ascii="Times New Roman" w:hAnsi="Times New Roman" w:eastAsia="仿宋" w:cs="Times New Roman"/>
          <w:color w:val="auto"/>
          <w:sz w:val="21"/>
          <w:szCs w:val="21"/>
          <w:highlight w:val="none"/>
          <w:lang w:val="en-US"/>
        </w:rPr>
      </w:pPr>
      <w:r>
        <w:rPr>
          <w:rFonts w:hint="default" w:ascii="Times New Roman" w:hAnsi="Times New Roman" w:eastAsia="仿宋" w:cs="Times New Roman"/>
          <w:color w:val="auto"/>
          <w:sz w:val="21"/>
          <w:szCs w:val="21"/>
          <w:highlight w:val="none"/>
          <w:lang w:val="en-US"/>
        </w:rPr>
        <w:t>2.使用历史计算时间至申报截止时间，其他年度、近几年、几年内计算时间均为每年1月1日至12月31日。</w:t>
      </w:r>
    </w:p>
    <w:p w14:paraId="66ADAD6E">
      <w:pPr>
        <w:pStyle w:val="2"/>
        <w:keepNext w:val="0"/>
        <w:keepLines w:val="0"/>
        <w:pageBreakBefore w:val="0"/>
        <w:widowControl w:val="0"/>
        <w:kinsoku/>
        <w:wordWrap/>
        <w:overflowPunct/>
        <w:topLinePunct w:val="0"/>
        <w:autoSpaceDE/>
        <w:autoSpaceDN/>
        <w:bidi w:val="0"/>
        <w:adjustRightInd/>
        <w:snapToGrid/>
        <w:spacing w:after="0" w:line="240" w:lineRule="auto"/>
        <w:ind w:left="630" w:leftChars="300" w:firstLine="0" w:firstLineChars="0"/>
        <w:textAlignment w:val="auto"/>
        <w:rPr>
          <w:rFonts w:hint="default" w:ascii="Times New Roman" w:hAnsi="Times New Roman" w:eastAsia="仿宋" w:cs="Times New Roman"/>
          <w:strike w:val="0"/>
          <w:dstrike w:val="0"/>
          <w:color w:val="auto"/>
          <w:highlight w:val="none"/>
          <w:lang w:val="en-US" w:eastAsia="zh-CN"/>
        </w:rPr>
      </w:pPr>
      <w:r>
        <w:rPr>
          <w:rFonts w:hint="default" w:ascii="Times New Roman" w:hAnsi="Times New Roman" w:eastAsia="仿宋" w:cs="Times New Roman"/>
          <w:color w:val="auto"/>
          <w:sz w:val="21"/>
          <w:szCs w:val="21"/>
          <w:highlight w:val="none"/>
          <w:lang w:val="en-US"/>
        </w:rPr>
        <w:t>3.遴选重点考察制剂：临床应用久、使用规模大、疗效明确、安全稳定、质量可控，能够体现临证学术思想，特色突出。</w:t>
      </w:r>
    </w:p>
    <w:sectPr>
      <w:footerReference r:id="rId3" w:type="default"/>
      <w:pgSz w:w="16838" w:h="11906" w:orient="landscape"/>
      <w:pgMar w:top="1474" w:right="1474" w:bottom="1474" w:left="1474" w:header="850" w:footer="992" w:gutter="0"/>
      <w:pgNumType w:fmt="numberInDash"/>
      <w:cols w:space="720" w:num="1"/>
      <w:rtlGutter w:val="0"/>
      <w:docGrid w:type="lines" w:linePitch="34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4AA0D9E-D11F-4D00-ADFF-24BC4195EC6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16E8A27D-FE45-4B56-ACC4-9CAC8889524C}"/>
  </w:font>
  <w:font w:name="helvetica">
    <w:altName w:val="Segoe Print"/>
    <w:panose1 w:val="00000000000000000000"/>
    <w:charset w:val="00"/>
    <w:family w:val="auto"/>
    <w:pitch w:val="default"/>
    <w:sig w:usb0="00000000" w:usb1="00000000" w:usb2="00000000" w:usb3="00000000" w:csb0="2000019F" w:csb1="4F01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auto"/>
    <w:pitch w:val="default"/>
    <w:sig w:usb0="00000001" w:usb1="080E0000" w:usb2="00000000" w:usb3="00000000" w:csb0="00040000" w:csb1="00000000"/>
    <w:embedRegular r:id="rId3" w:fontKey="{4D38188C-459B-4AE7-A62D-DBB739AE6059}"/>
  </w:font>
  <w:font w:name="方正小标宋_GBK">
    <w:altName w:val="微软雅黑"/>
    <w:panose1 w:val="03000509000000000000"/>
    <w:charset w:val="86"/>
    <w:family w:val="auto"/>
    <w:pitch w:val="default"/>
    <w:sig w:usb0="00000000" w:usb1="00000000" w:usb2="00000000" w:usb3="00000000" w:csb0="00040000" w:csb1="00000000"/>
    <w:embedRegular r:id="rId4" w:fontKey="{B6C293F2-4C4A-47CC-B4C2-618AF8C405BF}"/>
  </w:font>
  <w:font w:name="仿宋_GB2312">
    <w:altName w:val="仿宋"/>
    <w:panose1 w:val="02010609030101010101"/>
    <w:charset w:val="86"/>
    <w:family w:val="modern"/>
    <w:pitch w:val="default"/>
    <w:sig w:usb0="00000000" w:usb1="00000000" w:usb2="00000000" w:usb3="00000000" w:csb0="00040000" w:csb1="00000000"/>
    <w:embedRegular r:id="rId5" w:fontKey="{C5E59113-40A5-470A-A42C-3385FD330F3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49AD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E9EF38">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- 19 -</w:t>
                          </w:r>
                          <w:r>
                            <w:rPr>
                              <w:rFonts w:hint="eastAsia" w:ascii="宋体" w:hAnsi="宋体" w:eastAsia="宋体" w:cs="宋体"/>
                              <w:sz w:val="28"/>
                              <w:szCs w:val="28"/>
                              <w:lang w:eastAsia="zh-CN"/>
                            </w:rPr>
                            <w:fldChar w:fldCharType="end"/>
                          </w:r>
                        </w:p>
                      </w:txbxContent>
                    </wps:txbx>
                    <wps:bodyPr wrap="none" lIns="0" tIns="0" rIns="0" bIns="0" upright="0">
                      <a:spAutoFit/>
                    </wps:bodyPr>
                  </wps:wsp>
                </a:graphicData>
              </a:graphic>
            </wp:anchor>
          </w:drawing>
        </mc:Choice>
        <mc:Fallback>
          <w:pict>
            <v:shape id="文本框 20"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n7ZsQMcBAACaAwAADgAAAAAAAAABACAAAAAeAQAAZHJzL2Uyb0RvYy54&#10;bWxQSwUGAAAAAAYABgBZAQAAVwUAAAAA&#10;">
              <v:fill on="f" focussize="0,0"/>
              <v:stroke on="f"/>
              <v:imagedata o:title=""/>
              <o:lock v:ext="edit" aspectratio="f"/>
              <v:textbox inset="0mm,0mm,0mm,0mm" style="mso-fit-shape-to-text:t;">
                <w:txbxContent>
                  <w:p w14:paraId="62E9EF38">
                    <w:pPr>
                      <w:snapToGrid w:val="0"/>
                      <w:rPr>
                        <w:rFonts w:hint="eastAsia" w:eastAsia="宋体"/>
                        <w:sz w:val="1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- 19 -</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E0C1F"/>
    <w:multiLevelType w:val="singleLevel"/>
    <w:tmpl w:val="9D0E0C1F"/>
    <w:lvl w:ilvl="0" w:tentative="0">
      <w:start w:val="2"/>
      <w:numFmt w:val="chineseCounting"/>
      <w:suff w:val="nothing"/>
      <w:lvlText w:val="%1、"/>
      <w:lvlJc w:val="left"/>
      <w:rPr>
        <w:rFonts w:hint="eastAsia"/>
      </w:rPr>
    </w:lvl>
  </w:abstractNum>
  <w:abstractNum w:abstractNumId="1">
    <w:nsid w:val="F7DBB866"/>
    <w:multiLevelType w:val="singleLevel"/>
    <w:tmpl w:val="F7DBB866"/>
    <w:lvl w:ilvl="0" w:tentative="0">
      <w:start w:val="3"/>
      <w:numFmt w:val="decimal"/>
      <w:suff w:val="nothing"/>
      <w:lvlText w:val="（%1）"/>
      <w:lvlJc w:val="left"/>
    </w:lvl>
  </w:abstractNum>
  <w:abstractNum w:abstractNumId="2">
    <w:nsid w:val="3C1844DD"/>
    <w:multiLevelType w:val="singleLevel"/>
    <w:tmpl w:val="3C1844DD"/>
    <w:lvl w:ilvl="0" w:tentative="0">
      <w:start w:val="1"/>
      <w:numFmt w:val="decimal"/>
      <w:suff w:val="space"/>
      <w:lvlText w:val="%1."/>
      <w:lvlJc w:val="left"/>
    </w:lvl>
  </w:abstractNum>
  <w:abstractNum w:abstractNumId="3">
    <w:nsid w:val="6EB2C4FF"/>
    <w:multiLevelType w:val="singleLevel"/>
    <w:tmpl w:val="6EB2C4FF"/>
    <w:lvl w:ilvl="0" w:tentative="0">
      <w:start w:val="1"/>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BAB04"/>
    <w:rsid w:val="00816543"/>
    <w:rsid w:val="02D52B76"/>
    <w:rsid w:val="032F2286"/>
    <w:rsid w:val="046B3792"/>
    <w:rsid w:val="049727D9"/>
    <w:rsid w:val="062A31D9"/>
    <w:rsid w:val="062E4A77"/>
    <w:rsid w:val="06E23AB3"/>
    <w:rsid w:val="06F37A6F"/>
    <w:rsid w:val="07610E7C"/>
    <w:rsid w:val="07D96C64"/>
    <w:rsid w:val="08B17BE1"/>
    <w:rsid w:val="097035F9"/>
    <w:rsid w:val="0A960E3D"/>
    <w:rsid w:val="0BB93035"/>
    <w:rsid w:val="0CEC11E8"/>
    <w:rsid w:val="0DFE7425"/>
    <w:rsid w:val="0F96368D"/>
    <w:rsid w:val="10EA0134"/>
    <w:rsid w:val="11082369"/>
    <w:rsid w:val="113F222E"/>
    <w:rsid w:val="13007A3D"/>
    <w:rsid w:val="138A52B7"/>
    <w:rsid w:val="15233C15"/>
    <w:rsid w:val="16092E0B"/>
    <w:rsid w:val="16E41182"/>
    <w:rsid w:val="18351C95"/>
    <w:rsid w:val="18E9476E"/>
    <w:rsid w:val="18F7519C"/>
    <w:rsid w:val="1A330456"/>
    <w:rsid w:val="1A4563DB"/>
    <w:rsid w:val="1AF5395E"/>
    <w:rsid w:val="1BD23C9F"/>
    <w:rsid w:val="1BD5F0F9"/>
    <w:rsid w:val="1BE17EB3"/>
    <w:rsid w:val="1BFF721E"/>
    <w:rsid w:val="1E27F609"/>
    <w:rsid w:val="1E805C34"/>
    <w:rsid w:val="1F8F25D3"/>
    <w:rsid w:val="1FD7C7B0"/>
    <w:rsid w:val="1FFF7E59"/>
    <w:rsid w:val="201E5705"/>
    <w:rsid w:val="21350F58"/>
    <w:rsid w:val="21442F49"/>
    <w:rsid w:val="22636BF9"/>
    <w:rsid w:val="22877591"/>
    <w:rsid w:val="228F6446"/>
    <w:rsid w:val="232457FC"/>
    <w:rsid w:val="2444305E"/>
    <w:rsid w:val="2564005E"/>
    <w:rsid w:val="256C0CC0"/>
    <w:rsid w:val="257F3F56"/>
    <w:rsid w:val="26BC8AA1"/>
    <w:rsid w:val="26E50D2A"/>
    <w:rsid w:val="27363334"/>
    <w:rsid w:val="275143B1"/>
    <w:rsid w:val="276F45B0"/>
    <w:rsid w:val="27EDFBFF"/>
    <w:rsid w:val="28616AD6"/>
    <w:rsid w:val="28EA6ACC"/>
    <w:rsid w:val="2912392D"/>
    <w:rsid w:val="2A241B69"/>
    <w:rsid w:val="2AB32EED"/>
    <w:rsid w:val="2ACD0453"/>
    <w:rsid w:val="2B45623B"/>
    <w:rsid w:val="2CAD5E46"/>
    <w:rsid w:val="2D79041E"/>
    <w:rsid w:val="2DEBDD97"/>
    <w:rsid w:val="2E0B376C"/>
    <w:rsid w:val="2F0D7070"/>
    <w:rsid w:val="30274161"/>
    <w:rsid w:val="31D32111"/>
    <w:rsid w:val="31D64091"/>
    <w:rsid w:val="32485EAD"/>
    <w:rsid w:val="32DA370D"/>
    <w:rsid w:val="338D4C23"/>
    <w:rsid w:val="33BABB85"/>
    <w:rsid w:val="34BA37F6"/>
    <w:rsid w:val="34FFDBCC"/>
    <w:rsid w:val="35C26009"/>
    <w:rsid w:val="367E6AA5"/>
    <w:rsid w:val="36BA55A3"/>
    <w:rsid w:val="37661A13"/>
    <w:rsid w:val="379BBBB2"/>
    <w:rsid w:val="37BF598C"/>
    <w:rsid w:val="37DF41C6"/>
    <w:rsid w:val="38F90665"/>
    <w:rsid w:val="39557F91"/>
    <w:rsid w:val="39861EF9"/>
    <w:rsid w:val="3995038E"/>
    <w:rsid w:val="39B36A66"/>
    <w:rsid w:val="39DA0497"/>
    <w:rsid w:val="3A79380C"/>
    <w:rsid w:val="3AFF372C"/>
    <w:rsid w:val="3B563B4D"/>
    <w:rsid w:val="3BEDD233"/>
    <w:rsid w:val="3C5938F5"/>
    <w:rsid w:val="3C6504EB"/>
    <w:rsid w:val="3CF74CC5"/>
    <w:rsid w:val="3D4520CB"/>
    <w:rsid w:val="3D785FFC"/>
    <w:rsid w:val="3D7FA6A7"/>
    <w:rsid w:val="3DAFE5EB"/>
    <w:rsid w:val="3DB57251"/>
    <w:rsid w:val="3DB9AD02"/>
    <w:rsid w:val="3DC7ACEE"/>
    <w:rsid w:val="3DCD6D10"/>
    <w:rsid w:val="3DD07BE6"/>
    <w:rsid w:val="3E9926CE"/>
    <w:rsid w:val="3ED741A7"/>
    <w:rsid w:val="3EFF61F5"/>
    <w:rsid w:val="3F4D34B9"/>
    <w:rsid w:val="3F7E0723"/>
    <w:rsid w:val="3F7F0777"/>
    <w:rsid w:val="3F8E924D"/>
    <w:rsid w:val="3FB903F6"/>
    <w:rsid w:val="3FC19366"/>
    <w:rsid w:val="3FC91A71"/>
    <w:rsid w:val="3FCC0881"/>
    <w:rsid w:val="3FCE63A8"/>
    <w:rsid w:val="3FF70CBB"/>
    <w:rsid w:val="411D3A31"/>
    <w:rsid w:val="438C45B0"/>
    <w:rsid w:val="44366C11"/>
    <w:rsid w:val="44A771C7"/>
    <w:rsid w:val="471E5E67"/>
    <w:rsid w:val="47AA14A8"/>
    <w:rsid w:val="47DC20C3"/>
    <w:rsid w:val="48B12D0A"/>
    <w:rsid w:val="48C93BB0"/>
    <w:rsid w:val="491A0E21"/>
    <w:rsid w:val="49586CCF"/>
    <w:rsid w:val="4AFD3FE5"/>
    <w:rsid w:val="4BB8790C"/>
    <w:rsid w:val="4C164EAD"/>
    <w:rsid w:val="4DB50BA7"/>
    <w:rsid w:val="4E296E9F"/>
    <w:rsid w:val="4E516B22"/>
    <w:rsid w:val="4E5B174E"/>
    <w:rsid w:val="4FAE2B14"/>
    <w:rsid w:val="4FFECE25"/>
    <w:rsid w:val="50D43A3A"/>
    <w:rsid w:val="5184720E"/>
    <w:rsid w:val="518C0E5D"/>
    <w:rsid w:val="529A35D9"/>
    <w:rsid w:val="53690469"/>
    <w:rsid w:val="536A5F90"/>
    <w:rsid w:val="54176117"/>
    <w:rsid w:val="556C5FEF"/>
    <w:rsid w:val="55801A9A"/>
    <w:rsid w:val="558C043F"/>
    <w:rsid w:val="58331046"/>
    <w:rsid w:val="59084281"/>
    <w:rsid w:val="59103135"/>
    <w:rsid w:val="5B0B0058"/>
    <w:rsid w:val="5B897294"/>
    <w:rsid w:val="5B9B5880"/>
    <w:rsid w:val="5C95407D"/>
    <w:rsid w:val="5D2C4E92"/>
    <w:rsid w:val="5DEB0707"/>
    <w:rsid w:val="5F473629"/>
    <w:rsid w:val="5FA69E1D"/>
    <w:rsid w:val="604663A9"/>
    <w:rsid w:val="604C7149"/>
    <w:rsid w:val="62970423"/>
    <w:rsid w:val="62E25B42"/>
    <w:rsid w:val="63041F5D"/>
    <w:rsid w:val="63B219B9"/>
    <w:rsid w:val="64C574CA"/>
    <w:rsid w:val="65774D17"/>
    <w:rsid w:val="664805A5"/>
    <w:rsid w:val="67BF28AB"/>
    <w:rsid w:val="67F3B7A5"/>
    <w:rsid w:val="68B0223F"/>
    <w:rsid w:val="6AF38204"/>
    <w:rsid w:val="6AFF08D5"/>
    <w:rsid w:val="6B0D1BCA"/>
    <w:rsid w:val="6B7632CC"/>
    <w:rsid w:val="6BFF530C"/>
    <w:rsid w:val="6D3D588F"/>
    <w:rsid w:val="6D4D2D43"/>
    <w:rsid w:val="6DB2E0A8"/>
    <w:rsid w:val="6DBBD1A7"/>
    <w:rsid w:val="6DC20A4A"/>
    <w:rsid w:val="6DF25388"/>
    <w:rsid w:val="6E5024FA"/>
    <w:rsid w:val="6ED47AD1"/>
    <w:rsid w:val="6FCB6B31"/>
    <w:rsid w:val="6FDAD686"/>
    <w:rsid w:val="6FEFDB46"/>
    <w:rsid w:val="703B4AE4"/>
    <w:rsid w:val="70A703CB"/>
    <w:rsid w:val="7238752D"/>
    <w:rsid w:val="736D13AB"/>
    <w:rsid w:val="73726A6F"/>
    <w:rsid w:val="739F35DC"/>
    <w:rsid w:val="73CEC9D7"/>
    <w:rsid w:val="73ED16DA"/>
    <w:rsid w:val="746C7962"/>
    <w:rsid w:val="75D7071A"/>
    <w:rsid w:val="76FD1828"/>
    <w:rsid w:val="76FFB06A"/>
    <w:rsid w:val="774E15A1"/>
    <w:rsid w:val="77A506A1"/>
    <w:rsid w:val="77D776A3"/>
    <w:rsid w:val="77F73F4F"/>
    <w:rsid w:val="796ED373"/>
    <w:rsid w:val="79D8B169"/>
    <w:rsid w:val="7A6510DB"/>
    <w:rsid w:val="7AB7A2A2"/>
    <w:rsid w:val="7ABA04FC"/>
    <w:rsid w:val="7B8F2BFD"/>
    <w:rsid w:val="7BFF8D15"/>
    <w:rsid w:val="7BFFDA1F"/>
    <w:rsid w:val="7C1032C9"/>
    <w:rsid w:val="7CA355CC"/>
    <w:rsid w:val="7CF9C061"/>
    <w:rsid w:val="7D9314ED"/>
    <w:rsid w:val="7DFA7D8C"/>
    <w:rsid w:val="7E33329E"/>
    <w:rsid w:val="7EED95F2"/>
    <w:rsid w:val="7EFF589F"/>
    <w:rsid w:val="7F1906E6"/>
    <w:rsid w:val="7F59FE5C"/>
    <w:rsid w:val="7F5F70EA"/>
    <w:rsid w:val="7F6B0160"/>
    <w:rsid w:val="7F7B591F"/>
    <w:rsid w:val="7F7BC359"/>
    <w:rsid w:val="7F9EE0E7"/>
    <w:rsid w:val="7FB328E9"/>
    <w:rsid w:val="7FBF35D2"/>
    <w:rsid w:val="7FC74606"/>
    <w:rsid w:val="7FDF48F0"/>
    <w:rsid w:val="7FFE1F47"/>
    <w:rsid w:val="8FB7A47B"/>
    <w:rsid w:val="8FEDA783"/>
    <w:rsid w:val="9BCD3031"/>
    <w:rsid w:val="A6DB2BCD"/>
    <w:rsid w:val="A6FFD85D"/>
    <w:rsid w:val="A93B7AB5"/>
    <w:rsid w:val="B9EF546C"/>
    <w:rsid w:val="BA750450"/>
    <w:rsid w:val="BAEDFE88"/>
    <w:rsid w:val="BAFAFC62"/>
    <w:rsid w:val="BAFF0F27"/>
    <w:rsid w:val="BC7DEF03"/>
    <w:rsid w:val="BCF8E6AE"/>
    <w:rsid w:val="BCFDAA55"/>
    <w:rsid w:val="BD5FA829"/>
    <w:rsid w:val="BD789257"/>
    <w:rsid w:val="BDFD7708"/>
    <w:rsid w:val="BEF5A7CF"/>
    <w:rsid w:val="BFFFD997"/>
    <w:rsid w:val="C2FA1311"/>
    <w:rsid w:val="CB996465"/>
    <w:rsid w:val="CDEE09F9"/>
    <w:rsid w:val="D27C4658"/>
    <w:rsid w:val="D4171D80"/>
    <w:rsid w:val="D6B716B1"/>
    <w:rsid w:val="D6DBCF38"/>
    <w:rsid w:val="D9EFD850"/>
    <w:rsid w:val="DAAEF305"/>
    <w:rsid w:val="DBF7013D"/>
    <w:rsid w:val="DC9F738E"/>
    <w:rsid w:val="DCEB0812"/>
    <w:rsid w:val="DD739E96"/>
    <w:rsid w:val="DD958EA4"/>
    <w:rsid w:val="DEBFFF9A"/>
    <w:rsid w:val="DEDD322E"/>
    <w:rsid w:val="DF6B0FA6"/>
    <w:rsid w:val="DFDFB517"/>
    <w:rsid w:val="DFE5534C"/>
    <w:rsid w:val="DFFFA426"/>
    <w:rsid w:val="E3FF37FA"/>
    <w:rsid w:val="E4EBB3B3"/>
    <w:rsid w:val="E52CDCB7"/>
    <w:rsid w:val="E99DD58A"/>
    <w:rsid w:val="EADEA1B9"/>
    <w:rsid w:val="EBFDC83C"/>
    <w:rsid w:val="ECAFEC1E"/>
    <w:rsid w:val="ECFF5C25"/>
    <w:rsid w:val="ED7C314D"/>
    <w:rsid w:val="EDFFA4CE"/>
    <w:rsid w:val="EF3EDEE6"/>
    <w:rsid w:val="EF7DA5C6"/>
    <w:rsid w:val="EF9FA159"/>
    <w:rsid w:val="EFC71F72"/>
    <w:rsid w:val="EFE783BC"/>
    <w:rsid w:val="F66DBCAE"/>
    <w:rsid w:val="F70DFA39"/>
    <w:rsid w:val="F75F788A"/>
    <w:rsid w:val="F7DFD503"/>
    <w:rsid w:val="F7E799E2"/>
    <w:rsid w:val="F8FE7B19"/>
    <w:rsid w:val="FAA512F2"/>
    <w:rsid w:val="FAF7C435"/>
    <w:rsid w:val="FB1A4903"/>
    <w:rsid w:val="FB361089"/>
    <w:rsid w:val="FB7DFE92"/>
    <w:rsid w:val="FBD5F091"/>
    <w:rsid w:val="FBDEC8D3"/>
    <w:rsid w:val="FBFB7A24"/>
    <w:rsid w:val="FD2F8F06"/>
    <w:rsid w:val="FDDF8BAD"/>
    <w:rsid w:val="FDEF0965"/>
    <w:rsid w:val="FE7ADB42"/>
    <w:rsid w:val="FED6140F"/>
    <w:rsid w:val="FEE90941"/>
    <w:rsid w:val="FF4662F1"/>
    <w:rsid w:val="FF6D0BCB"/>
    <w:rsid w:val="FF757E6E"/>
    <w:rsid w:val="FF77F43D"/>
    <w:rsid w:val="FF974AF0"/>
    <w:rsid w:val="FFB31504"/>
    <w:rsid w:val="FFBF396C"/>
    <w:rsid w:val="FFBFDFFF"/>
    <w:rsid w:val="FFD76CD3"/>
    <w:rsid w:val="FFD8781D"/>
    <w:rsid w:val="FFDEE3ED"/>
    <w:rsid w:val="FFEA0229"/>
    <w:rsid w:val="FFFB10C4"/>
    <w:rsid w:val="FFFBAB04"/>
    <w:rsid w:val="FFFDB012"/>
    <w:rsid w:val="FFFEFB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character" w:styleId="6">
    <w:name w:val="Strong"/>
    <w:basedOn w:val="5"/>
    <w:qFormat/>
    <w:uiPriority w:val="0"/>
    <w:rPr>
      <w:b/>
    </w:rPr>
  </w:style>
  <w:style w:type="character" w:customStyle="1" w:styleId="7">
    <w:name w:val="font91"/>
    <w:qFormat/>
    <w:uiPriority w:val="0"/>
    <w:rPr>
      <w:rFonts w:hint="eastAsia" w:ascii="仿宋" w:hAnsi="仿宋" w:eastAsia="仿宋" w:cs="仿宋"/>
      <w:color w:val="FF0000"/>
      <w:sz w:val="32"/>
      <w:szCs w:val="32"/>
      <w:u w:val="none"/>
    </w:rPr>
  </w:style>
  <w:style w:type="character" w:customStyle="1" w:styleId="8">
    <w:name w:val="font41"/>
    <w:basedOn w:val="5"/>
    <w:qFormat/>
    <w:uiPriority w:val="0"/>
    <w:rPr>
      <w:rFonts w:hint="eastAsia" w:ascii="宋体" w:hAnsi="宋体" w:eastAsia="宋体" w:cs="宋体"/>
      <w:color w:val="000000"/>
      <w:sz w:val="24"/>
      <w:szCs w:val="24"/>
      <w:u w:val="none"/>
    </w:rPr>
  </w:style>
  <w:style w:type="paragraph" w:customStyle="1" w:styleId="9">
    <w:name w:val="List Paragraph1"/>
    <w:basedOn w:val="1"/>
    <w:qFormat/>
    <w:uiPriority w:val="34"/>
    <w:pPr>
      <w:ind w:firstLine="420" w:firstLineChars="200"/>
    </w:pPr>
  </w:style>
  <w:style w:type="paragraph" w:customStyle="1" w:styleId="10">
    <w:name w:val="BodyText"/>
    <w:basedOn w:val="1"/>
    <w:qFormat/>
    <w:uiPriority w:val="0"/>
    <w:pPr>
      <w:autoSpaceDE w:val="0"/>
      <w:autoSpaceDN w:val="0"/>
      <w:jc w:val="left"/>
    </w:pPr>
    <w:rPr>
      <w:rFonts w:ascii="宋体" w:hAnsi="宋体" w:eastAsia="仿宋" w:cs="宋体"/>
      <w:kern w:val="0"/>
      <w:sz w:val="22"/>
      <w:szCs w:val="22"/>
      <w:lang w:val="zh-CN" w:bidi="zh-CN"/>
    </w:rPr>
  </w:style>
  <w:style w:type="paragraph" w:customStyle="1" w:styleId="11">
    <w:name w:val="p1"/>
    <w:basedOn w:val="1"/>
    <w:qFormat/>
    <w:uiPriority w:val="0"/>
    <w:pPr>
      <w:spacing w:before="0" w:beforeAutospacing="0" w:after="0" w:afterAutospacing="0"/>
      <w:ind w:left="0" w:right="0"/>
      <w:jc w:val="left"/>
    </w:pPr>
    <w:rPr>
      <w:rFonts w:ascii="helvetica" w:hAnsi="helvetica" w:eastAsia="helvetica" w:cs="helvetica"/>
      <w:color w:val="262626"/>
      <w:kern w:val="0"/>
      <w:sz w:val="32"/>
      <w:szCs w:val="32"/>
      <w:lang w:val="en-US" w:eastAsia="zh-CN" w:bidi="a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4f2bc710-36b0-4d1f-a4d2-1a20d51e949f</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等具</item>
      </candidateList>
      <explain xmlns="http://schemas.wps.cn/vas-ai-hub/contract-review"/>
      <paraID xmlns="http://schemas.wps.cn/vas-ai-hub/contract-review">1B601631</paraID>
      <start xmlns="http://schemas.wps.cn/vas-ai-hub/contract-review">71</start>
      <end xmlns="http://schemas.wps.cn/vas-ai-hub/contract-review">73</end>
      <status xmlns="http://schemas.wps.cn/vas-ai-hub/contract-review">modified</status>
      <modifiedWord xmlns="http://schemas.wps.cn/vas-ai-hub/contract-review">等具</modifiedWord>
      <trackRevisions xmlns="http://schemas.wps.cn/vas-ai-hub/contract-review">false</trackRevisions>
    </reviewItem>
    <reviewItem xmlns="http://schemas.wps.cn/vas-ai-hub/contract-review">
      <errorID xmlns="http://schemas.wps.cn/vas-ai-hub/contract-review">bd306353-b0c1-4837-80ab-92496f8a4a1b</errorID>
      <errorWord xmlns="http://schemas.wps.cn/vas-ai-hub/contract-review">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论等</item>
      </candidateList>
      <explain xmlns="http://schemas.wps.cn/vas-ai-hub/contract-review"/>
      <paraID xmlns="http://schemas.wps.cn/vas-ai-hub/contract-review"> 135778C</paraID>
      <start xmlns="http://schemas.wps.cn/vas-ai-hub/contract-review">53</start>
      <end xmlns="http://schemas.wps.cn/vas-ai-hub/contract-review">55</end>
      <status xmlns="http://schemas.wps.cn/vas-ai-hub/contract-review">modified</status>
      <modifiedWord xmlns="http://schemas.wps.cn/vas-ai-hub/contract-review">论等</modifiedWord>
      <trackRevisions xmlns="http://schemas.wps.cn/vas-ai-hub/contract-review">false</trackRevisions>
    </reviewItem>
    <reviewItem xmlns="http://schemas.wps.cn/vas-ai-hub/contract-review">
      <errorID xmlns="http://schemas.wps.cn/vas-ai-hub/contract-review">9162d422-691f-4664-abeb-ffba69dc9a8e</errorID>
      <errorWord xmlns="http://schemas.wps.cn/vas-ai-hub/contract-review">性</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性的</item>
      </candidateList>
      <explain xmlns="http://schemas.wps.cn/vas-ai-hub/contract-review"/>
      <paraID xmlns="http://schemas.wps.cn/vas-ai-hub/contract-review"> FB98617</paraID>
      <start xmlns="http://schemas.wps.cn/vas-ai-hub/contract-review">44</start>
      <end xmlns="http://schemas.wps.cn/vas-ai-hub/contract-review">46</end>
      <status xmlns="http://schemas.wps.cn/vas-ai-hub/contract-review">modified</status>
      <modifiedWord xmlns="http://schemas.wps.cn/vas-ai-hub/contract-review">性的</modifiedWord>
      <trackRevisions xmlns="http://schemas.wps.cn/vas-ai-hub/contract-review">false</trackRevisions>
    </reviewItem>
    <reviewItem xmlns="http://schemas.wps.cn/vas-ai-hub/contract-review">
      <errorID xmlns="http://schemas.wps.cn/vas-ai-hub/contract-review">ecce81a7-4000-4e4e-927f-e00fbfe0930c</errorID>
      <errorWord xmlns="http://schemas.wps.cn/vas-ai-hub/contract-review">禁忌证</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禁忌症</item>
      </candidateList>
      <explain xmlns="http://schemas.wps.cn/vas-ai-hub/contract-review">存在发音相同字词的误用。</explain>
      <paraID xmlns="http://schemas.wps.cn/vas-ai-hub/contract-review">2C08AE9B</paraID>
      <start xmlns="http://schemas.wps.cn/vas-ai-hub/contract-review">36</start>
      <end xmlns="http://schemas.wps.cn/vas-ai-hub/contract-review">39</end>
      <status xmlns="http://schemas.wps.cn/vas-ai-hub/contract-review">modified</status>
      <modifiedWord xmlns="http://schemas.wps.cn/vas-ai-hub/contract-review">禁忌症</modifiedWord>
      <trackRevisions xmlns="http://schemas.wps.cn/vas-ai-hub/contract-review">false</trackRevisions>
    </reviewItem>
    <reviewItem xmlns="http://schemas.wps.cn/vas-ai-hub/contract-review">
      <errorID xmlns="http://schemas.wps.cn/vas-ai-hub/contract-review">7e405ed0-d01f-44c3-94e5-bc02511f0815</errorID>
      <errorWord xmlns="http://schemas.wps.cn/vas-ai-hub/contract-review">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不超</item>
      </candidateList>
      <explain xmlns="http://schemas.wps.cn/vas-ai-hub/contract-review"/>
      <paraID xmlns="http://schemas.wps.cn/vas-ai-hub/contract-review">78A04D5F</paraID>
      <start xmlns="http://schemas.wps.cn/vas-ai-hub/contract-review">23</start>
      <end xmlns="http://schemas.wps.cn/vas-ai-hub/contract-review">25</end>
      <status xmlns="http://schemas.wps.cn/vas-ai-hub/contract-review">modified</status>
      <modifiedWord xmlns="http://schemas.wps.cn/vas-ai-hub/contract-review">不超</modifiedWord>
      <trackRevisions xmlns="http://schemas.wps.cn/vas-ai-hub/contract-review">false</trackRevisions>
    </reviewItem>
    <reviewItem xmlns="http://schemas.wps.cn/vas-ai-hub/contract-review">
      <errorID xmlns="http://schemas.wps.cn/vas-ai-hub/contract-review">95e1ceaf-994b-424d-98f5-8d14d7a3d87f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】各</item>
      </candidateList>
      <explain xmlns="http://schemas.wps.cn/vas-ai-hub/contract-review"/>
      <paraID xmlns="http://schemas.wps.cn/vas-ai-hub/contract-review">4666F0B9</paraID>
      <start xmlns="http://schemas.wps.cn/vas-ai-hub/contract-review">9</start>
      <end xmlns="http://schemas.wps.cn/vas-ai-hub/contract-review">11</end>
      <status xmlns="http://schemas.wps.cn/vas-ai-hub/contract-review">modified</status>
      <modifiedWord xmlns="http://schemas.wps.cn/vas-ai-hub/contract-review">】各</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c8cb708-e13c-4d99-b67d-9a315cef22a4}">
  <ds:schemaRefs/>
</ds:datastoreItem>
</file>

<file path=docProps/app.xml><?xml version="1.0" encoding="utf-8"?>
<Properties xmlns="http://schemas.openxmlformats.org/officeDocument/2006/extended-properties" xmlns:vt="http://schemas.openxmlformats.org/officeDocument/2006/docPropsVTypes">
  <Template>Normal.dotm</Template>
  <Pages>4</Pages>
  <Words>3039</Words>
  <Characters>3131</Characters>
  <Lines>0</Lines>
  <Paragraphs>0</Paragraphs>
  <TotalTime>33</TotalTime>
  <ScaleCrop>false</ScaleCrop>
  <LinksUpToDate>false</LinksUpToDate>
  <CharactersWithSpaces>3154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2026-08-31T17:42:00Z</dcterms:created>
  <dc:creator>ocean</dc:creator>
  <cp:lastModifiedBy>小臻儿</cp:lastModifiedBy>
  <dcterms:modified xsi:type="dcterms:W3CDTF">2026-09-21T03:11:10Z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8004417E05584889989ADD1277726910_13</vt:lpwstr>
  </property>
  <property fmtid="{D5CDD505-2E9C-101B-9397-08002B2CF9AE}" pid="4" name="KSOTemplateDocerSaveRecord">
    <vt:lpwstr>eyJoZGlkIjoiOTc3M2Y5NzIzMDFlZjAyY2Q4Njk5ODkyYjFjNzBiNTQiLCJ1c2VySWQiOiI1NTYyOTg3NjAifQ==</vt:lpwstr>
  </property>
</Properties>
</file>