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6BB5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9E1E0E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非处方药说明书范本</w:t>
      </w:r>
    </w:p>
    <w:p w14:paraId="66214210">
      <w:pPr>
        <w:keepNext/>
        <w:keepLines/>
        <w:widowControl w:val="0"/>
        <w:suppressLineNumbers w:val="0"/>
        <w:spacing w:before="260" w:beforeAutospacing="0" w:after="260" w:afterAutospacing="0" w:line="408" w:lineRule="auto"/>
        <w:ind w:left="0" w:right="0"/>
        <w:jc w:val="center"/>
        <w:outlineLvl w:val="1"/>
        <w:rPr>
          <w:rFonts w:hint="default" w:ascii="Times New Roman" w:hAnsi="Times New Roman" w:eastAsia="宋体" w:cs="Times New Roman"/>
          <w:b/>
          <w:bCs w:val="0"/>
          <w:sz w:val="3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30"/>
          <w:szCs w:val="20"/>
          <w:lang w:val="en-US" w:eastAsia="zh-CN" w:bidi="ar"/>
        </w:rPr>
        <w:t>杏仁止咳颗粒说明书</w:t>
      </w:r>
    </w:p>
    <w:p w14:paraId="0A872834">
      <w:pPr>
        <w:keepNext w:val="0"/>
        <w:keepLines w:val="0"/>
        <w:widowControl w:val="0"/>
        <w:suppressLineNumbers w:val="0"/>
        <w:spacing w:before="0" w:beforeAutospacing="0" w:after="0" w:afterAutospacing="0" w:line="240" w:lineRule="atLeast"/>
        <w:ind w:left="0" w:right="0" w:firstLine="420" w:firstLineChars="200"/>
        <w:jc w:val="center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请仔细阅读说明书并按说明使用或在药师指导下购买和使用</w:t>
      </w:r>
    </w:p>
    <w:p w14:paraId="35BB0E0E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[药品名称]</w:t>
      </w:r>
    </w:p>
    <w:p w14:paraId="299A90CF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通用名称：杏仁止咳颗粒</w:t>
      </w:r>
    </w:p>
    <w:p w14:paraId="73220CAE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汉语拼音：</w:t>
      </w:r>
    </w:p>
    <w:p w14:paraId="472BF635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[成份]</w:t>
      </w:r>
    </w:p>
    <w:p w14:paraId="3AEEE29A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[性状]</w:t>
      </w:r>
    </w:p>
    <w:p w14:paraId="11CA6532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[功能主治]化痰止咳。用于急、慢性支气管炎，咳嗽多痰。</w:t>
      </w:r>
    </w:p>
    <w:p w14:paraId="0DF9C603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[规格]每袋装20克</w:t>
      </w:r>
    </w:p>
    <w:p w14:paraId="2BAC41EA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[用法用量]温开水冲服，一次1袋，一日1～2次。</w:t>
      </w:r>
    </w:p>
    <w:p w14:paraId="275AD5B6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[不良反应]上市后监测数据显示，本制剂可见以下不良反应报告：呕吐、恶心、腹泻、皮疹、红斑、瘙痒、头晕、过敏反应等。</w:t>
      </w:r>
    </w:p>
    <w:p w14:paraId="62EECAAE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[禁忌]对本品及所含成份过敏者禁用。</w:t>
      </w:r>
    </w:p>
    <w:p w14:paraId="27CAF483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[注意事项]</w:t>
      </w:r>
    </w:p>
    <w:p w14:paraId="3D015F8E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1.忌烟、酒及辛辣、生冷、油腻食物。</w:t>
      </w:r>
    </w:p>
    <w:p w14:paraId="360978A9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2.不宜在服药期间同时服用滋补性中药。 </w:t>
      </w:r>
    </w:p>
    <w:p w14:paraId="225315C6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3.支气管扩张、肺脓疡、肺心病、肺结核患者出现咳嗽时应去医院就诊。 </w:t>
      </w:r>
    </w:p>
    <w:p w14:paraId="4EC0D8C8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4.本品辅料含蔗糖，糖尿病患者慎用。</w:t>
      </w:r>
    </w:p>
    <w:p w14:paraId="18EABD0D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5.高血压、心脏病、肝病、肾病等患者应当在医师指导下服用。</w:t>
      </w:r>
    </w:p>
    <w:p w14:paraId="17582885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6.孕妇、哺乳期妇女、年老体弱者应在医师指导下服用。 </w:t>
      </w:r>
    </w:p>
    <w:p w14:paraId="61EAAC53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7.服药期间，若患者发热体温超过38.5℃，或出现喘促气急者，或咳嗽加重、痰量明显增多者应去医院就诊。 </w:t>
      </w:r>
    </w:p>
    <w:p w14:paraId="62DF77D5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8.按用法用量服用，不可超量服用。</w:t>
      </w:r>
    </w:p>
    <w:p w14:paraId="176E8E1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9.服药3天症状无缓解，应去医院就诊。</w:t>
      </w:r>
    </w:p>
    <w:p w14:paraId="014EC7A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10.过敏体质者慎用。 </w:t>
      </w:r>
    </w:p>
    <w:p w14:paraId="2F5A477B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11.本品性状发生改变时禁止使用。 </w:t>
      </w:r>
    </w:p>
    <w:p w14:paraId="7D50AA30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12.请将本品放在儿童不能接触的地方。 </w:t>
      </w:r>
    </w:p>
    <w:p w14:paraId="45F78DBD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13.如正在使用其他药品，使用本品前请咨询医师或药师。</w:t>
      </w:r>
    </w:p>
    <w:p w14:paraId="0E33219F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[药物相互作用]如与其他药物同时使用可能会发生药物相互作用，详情请咨询医师或药师。</w:t>
      </w:r>
    </w:p>
    <w:p w14:paraId="59A19059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[贮藏]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[包装]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[有效期]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[执行标准]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[批准文号]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[说明书修订日期]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[药品上市许可持有人]</w:t>
      </w:r>
    </w:p>
    <w:p w14:paraId="16C1A664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名    称：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注册地址：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邮政编码：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电话号码：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传真号码：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网    址：</w:t>
      </w:r>
    </w:p>
    <w:p w14:paraId="6B5FA4F6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[生产企业]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企业名称：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生产地址：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如有问题可与药品上市许可持有人联系。</w:t>
      </w:r>
    </w:p>
    <w:p w14:paraId="4EDC8EBF">
      <w:pPr>
        <w:keepNext w:val="0"/>
        <w:keepLines w:val="0"/>
        <w:widowControl w:val="0"/>
        <w:suppressLineNumbers w:val="0"/>
        <w:spacing w:before="0" w:beforeAutospacing="0" w:after="0" w:afterAutospacing="0" w:line="240" w:lineRule="atLeast"/>
        <w:ind w:left="0" w:right="0"/>
        <w:jc w:val="both"/>
        <w:rPr>
          <w:rFonts w:hint="default" w:ascii="Times New Roman" w:hAnsi="Times New Roman" w:cs="Times New Roman"/>
          <w:b/>
          <w:bCs/>
          <w:lang w:val="en-US"/>
        </w:rPr>
      </w:pPr>
    </w:p>
    <w:p w14:paraId="58A7A328">
      <w:pPr>
        <w:keepNext w:val="0"/>
        <w:keepLines w:val="0"/>
        <w:widowControl w:val="0"/>
        <w:suppressLineNumbers w:val="0"/>
        <w:spacing w:before="0" w:beforeAutospacing="0" w:after="0" w:afterAutospacing="0" w:line="24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</w:p>
    <w:p w14:paraId="39A387E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 w:firstLineChars="20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（注：本说明书范本原则上不得删减，如原批准说明书的安全性内容较本范本内容更全面或者更严格的，应当保留原批准内容。）</w:t>
      </w:r>
    </w:p>
    <w:p w14:paraId="03A5AAA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361F63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5FA9485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2CA338E9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31365A5E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211EBCA2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6BBF963C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2F0549C1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2247EE5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E397345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5C4FC53E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C511DB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12024250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B608D03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3A03FE65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451C6899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F5568E2">
      <w:pPr>
        <w:keepNext/>
        <w:keepLines/>
        <w:widowControl w:val="0"/>
        <w:suppressLineNumbers w:val="0"/>
        <w:spacing w:before="260" w:beforeAutospacing="0" w:after="260" w:afterAutospacing="0" w:line="408" w:lineRule="auto"/>
        <w:ind w:left="0" w:right="0"/>
        <w:jc w:val="center"/>
        <w:outlineLvl w:val="1"/>
        <w:rPr>
          <w:rFonts w:hint="default" w:ascii="Times New Roman" w:hAnsi="Times New Roman" w:eastAsia="宋体" w:cs="Times New Roman"/>
          <w:b/>
          <w:bCs w:val="0"/>
          <w:sz w:val="3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30"/>
          <w:szCs w:val="20"/>
          <w:lang w:val="en-US" w:eastAsia="zh-CN" w:bidi="ar"/>
        </w:rPr>
        <w:t>九味芩香含漱液说明书</w:t>
      </w:r>
    </w:p>
    <w:p w14:paraId="7DAFB7D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4"/>
          <w:lang w:val="en-US" w:eastAsia="zh-CN" w:bidi="ar"/>
        </w:rPr>
        <w:t>请仔细阅读说明书并按说明使用或在药师指导下购买和使用</w:t>
      </w:r>
    </w:p>
    <w:p w14:paraId="40ABFF4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[药品名称]</w:t>
      </w:r>
    </w:p>
    <w:p w14:paraId="7D7B9D38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通用名称：九味芩香含漱液</w:t>
      </w:r>
    </w:p>
    <w:p w14:paraId="42EAC621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汉语拼音：</w:t>
      </w:r>
    </w:p>
    <w:p w14:paraId="2E0D041F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[成份]</w:t>
      </w:r>
    </w:p>
    <w:p w14:paraId="37E69F5E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[性状]</w:t>
      </w:r>
    </w:p>
    <w:p w14:paraId="6A94B16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[功能主治]清热凉血，消肿止痛。用于火热内盛所致的牙龈肿痛、出血及口臭等症。</w:t>
      </w:r>
    </w:p>
    <w:p w14:paraId="376FE6EF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[规格]每1毫升相当于饮片40.5毫克</w:t>
      </w:r>
    </w:p>
    <w:p w14:paraId="3A343428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[用法用量]含漱，用前摇匀。一次5～10毫升，每次含漱2～3分钟，一日2次，早晚各一次。</w:t>
      </w:r>
    </w:p>
    <w:p w14:paraId="02EEC1EA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[不良反应]监测数据显示，本品可见以下不良反应报告：恶心、唇麻木、呕吐、皮疹、瘙痒等。</w:t>
      </w:r>
    </w:p>
    <w:p w14:paraId="5D419924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[禁忌]对本品及所含成份过敏者禁用。</w:t>
      </w:r>
    </w:p>
    <w:p w14:paraId="18FE92AB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[注意事项]</w:t>
      </w:r>
    </w:p>
    <w:p w14:paraId="69FD0CA3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本品仅供含漱用，含漱后应吐出，不得咽下。</w:t>
      </w:r>
    </w:p>
    <w:p w14:paraId="4EF055F3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忌烟、酒及辛辣、油腻食物。</w:t>
      </w:r>
    </w:p>
    <w:p w14:paraId="74E4DF44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不宜在用药期间同时服用温补性中药。</w:t>
      </w:r>
    </w:p>
    <w:p w14:paraId="1EE10CF5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孕妇慎用。</w:t>
      </w:r>
    </w:p>
    <w:p w14:paraId="06914ED6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过敏体质者慎用。</w:t>
      </w:r>
    </w:p>
    <w:p w14:paraId="4880351D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用药</w:t>
      </w:r>
      <w:r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  <w:t>3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天症状无缓解，应去医院就诊。</w:t>
      </w:r>
    </w:p>
    <w:p w14:paraId="42C964F3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本品性状发生改变时，如出现变色、絮状沉淀、异味等，禁止使用。</w:t>
      </w:r>
    </w:p>
    <w:p w14:paraId="25D14A50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请将本品放在儿童不能接触的地方。</w:t>
      </w:r>
    </w:p>
    <w:p w14:paraId="7327269D">
      <w:pPr>
        <w:pStyle w:val="5"/>
        <w:widowControl/>
        <w:numPr>
          <w:ilvl w:val="0"/>
          <w:numId w:val="0"/>
        </w:numPr>
        <w:spacing w:line="0" w:lineRule="atLeast"/>
        <w:ind w:left="0" w:firstLine="0" w:firstLineChars="0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cs="Times New Roman"/>
          <w:b/>
          <w:bCs w:val="0"/>
          <w:szCs w:val="21"/>
          <w:lang w:val="en-US" w:eastAsia="zh-CN"/>
        </w:rPr>
        <w:t>9.</w:t>
      </w:r>
      <w:r>
        <w:rPr>
          <w:rFonts w:hint="default" w:ascii="Times New Roman" w:hAnsi="Times New Roman" w:eastAsia="宋体" w:cs="Times New Roman"/>
          <w:b/>
          <w:bCs w:val="0"/>
          <w:szCs w:val="21"/>
          <w:lang w:eastAsia="zh-CN"/>
        </w:rPr>
        <w:t>如正在使用其它药品，使用本品前请咨询医师或药师。</w:t>
      </w:r>
    </w:p>
    <w:p w14:paraId="5BA2FFF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[药物相互作用]如与其他药物同时使用可能会发生药物相互作用，详情请咨询医师或药师</w:t>
      </w:r>
    </w:p>
    <w:p w14:paraId="2C1D88DD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[贮藏]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[包装]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[有效期]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[执行标准]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[批准文号]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[说明书修订日期]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[药品上市许可持有人]</w:t>
      </w:r>
    </w:p>
    <w:p w14:paraId="10FFD958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名   称：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注册地址：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邮政编码：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电话号码：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传真号码：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网 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[生产企业]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企业名称：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生产地址：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如有问题可与药品上市许可持有人联系。</w:t>
      </w:r>
    </w:p>
    <w:p w14:paraId="282FCE37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cs="Times New Roman"/>
          <w:b/>
          <w:bCs w:val="0"/>
          <w:kern w:val="0"/>
          <w:lang w:val="en-US" w:bidi="ar"/>
        </w:rPr>
      </w:pPr>
    </w:p>
    <w:p w14:paraId="3B0173B1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/>
        <w:jc w:val="both"/>
        <w:rPr>
          <w:rFonts w:hint="default" w:ascii="Times New Roman" w:hAnsi="Times New Roman" w:cs="Times New Roman"/>
          <w:kern w:val="0"/>
          <w:lang w:val="en-US" w:bidi="ar"/>
        </w:rPr>
      </w:pPr>
    </w:p>
    <w:p w14:paraId="35E3CA28">
      <w:pPr>
        <w:keepNext w:val="0"/>
        <w:keepLines w:val="0"/>
        <w:widowControl w:val="0"/>
        <w:suppressLineNumbers w:val="0"/>
        <w:spacing w:before="0" w:beforeAutospacing="0" w:after="0" w:afterAutospacing="0" w:line="0" w:lineRule="atLeast"/>
        <w:ind w:left="0" w:right="0" w:firstLine="420" w:firstLineChars="200"/>
        <w:jc w:val="both"/>
        <w:rPr>
          <w:rFonts w:hint="default" w:ascii="Times New Roman" w:hAnsi="Times New Roman" w:cs="Times New Roman"/>
          <w:kern w:val="0"/>
          <w:lang w:val="en-US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4"/>
          <w:lang w:val="en-US" w:eastAsia="zh-CN" w:bidi="ar"/>
        </w:rPr>
        <w:t>（注：本说明书范本原则上不得删减，如原批准说明书的安全性内容较本范本内容更全面或更严格的，应保留原批准内容。）</w:t>
      </w:r>
    </w:p>
    <w:p w14:paraId="1A44862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14BEA5F6">
      <w:pPr>
        <w:keepNext/>
        <w:keepLines/>
        <w:spacing w:before="260" w:after="260" w:line="600" w:lineRule="exact"/>
        <w:jc w:val="center"/>
        <w:outlineLvl w:val="1"/>
        <w:rPr>
          <w:rFonts w:ascii="宋体" w:hAnsi="宋体" w:cs="宋体"/>
          <w:b/>
          <w:color w:val="000000"/>
          <w:sz w:val="30"/>
          <w:szCs w:val="20"/>
        </w:rPr>
      </w:pPr>
      <w:r>
        <w:rPr>
          <w:rFonts w:hint="eastAsia" w:ascii="宋体" w:hAnsi="宋体" w:cs="宋体"/>
          <w:b/>
          <w:color w:val="000000"/>
          <w:sz w:val="30"/>
          <w:szCs w:val="20"/>
        </w:rPr>
        <w:t>显齿蛇葡萄总黄酮含片说明书</w:t>
      </w:r>
    </w:p>
    <w:p w14:paraId="46875F85">
      <w:pPr>
        <w:spacing w:line="0" w:lineRule="atLeast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请仔细阅读说明书并按说明使用或在药师指导下购买和使用</w:t>
      </w:r>
    </w:p>
    <w:p w14:paraId="294494E3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药品名称</w:t>
      </w:r>
      <w:r>
        <w:rPr>
          <w:rFonts w:ascii="宋体" w:hAnsi="宋体"/>
          <w:szCs w:val="21"/>
        </w:rPr>
        <w:t>]</w:t>
      </w:r>
    </w:p>
    <w:p w14:paraId="75E724C8">
      <w:pPr>
        <w:spacing w:line="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通用名称：显齿蛇葡萄总黄酮含片</w:t>
      </w:r>
    </w:p>
    <w:p w14:paraId="35937651">
      <w:pPr>
        <w:spacing w:line="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汉语拼音：</w:t>
      </w:r>
    </w:p>
    <w:p w14:paraId="0881801B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成份</w:t>
      </w:r>
      <w:r>
        <w:rPr>
          <w:rFonts w:ascii="宋体" w:hAnsi="宋体"/>
          <w:szCs w:val="21"/>
        </w:rPr>
        <w:t>]</w:t>
      </w:r>
    </w:p>
    <w:p w14:paraId="0F667ABF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性状</w:t>
      </w:r>
      <w:r>
        <w:rPr>
          <w:rFonts w:ascii="宋体" w:hAnsi="宋体"/>
          <w:szCs w:val="21"/>
        </w:rPr>
        <w:t>]</w:t>
      </w:r>
    </w:p>
    <w:p w14:paraId="7859456B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功能主治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消肿止痛，解毒敛疮。用于复发性阿弗他溃疡（轻型、口炎型）心脾积热证的疼痛缓解，症见口舌生疮，局部疼痛、红肿、灼热，面红口鼻灼干而热，口渴欲饮，便干，尿黄赤，舌尖偏红而干，苔黄或黄腻，脉弦数。</w:t>
      </w:r>
    </w:p>
    <w:p w14:paraId="6A96A503">
      <w:pPr>
        <w:spacing w:line="0" w:lineRule="atLeast"/>
        <w:rPr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规格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每片重</w:t>
      </w:r>
      <w:r>
        <w:rPr>
          <w:rFonts w:hint="eastAsia"/>
          <w:szCs w:val="21"/>
        </w:rPr>
        <w:t>1克（含显齿蛇葡萄总黄酮0.3克）</w:t>
      </w:r>
    </w:p>
    <w:p w14:paraId="560EF080">
      <w:pPr>
        <w:spacing w:line="0" w:lineRule="atLeast"/>
        <w:rPr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用法用量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含服。一次</w:t>
      </w:r>
      <w:r>
        <w:rPr>
          <w:rFonts w:hint="eastAsia"/>
          <w:szCs w:val="21"/>
        </w:rPr>
        <w:t>1片，一日4次。5天为一疗程。</w:t>
      </w:r>
    </w:p>
    <w:p w14:paraId="56E4E15E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不良反应</w:t>
      </w:r>
      <w:r>
        <w:rPr>
          <w:rFonts w:ascii="宋体" w:hAnsi="宋体"/>
          <w:szCs w:val="21"/>
        </w:rPr>
        <w:t>]</w:t>
      </w:r>
    </w:p>
    <w:p w14:paraId="210A4C10">
      <w:pPr>
        <w:spacing w:line="0" w:lineRule="atLeast"/>
        <w:rPr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临床试验期间，偶见局部刺痛。另偶见血清丙氨酸氨基转移酶（ALT）、血尿素氮（BUN）轻度升高，与本品的关系尚无法确定。</w:t>
      </w:r>
    </w:p>
    <w:p w14:paraId="5729829B">
      <w:pPr>
        <w:spacing w:line="0" w:lineRule="atLeast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.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上市后监测数据显示，本品可见以下不良反应报告：腹泻、口干、腹痛、舌麻木、局部疼痛等。</w:t>
      </w:r>
    </w:p>
    <w:p w14:paraId="057A73A5">
      <w:pPr>
        <w:spacing w:line="0" w:lineRule="atLeas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[禁忌]对本品及所含成份过敏者禁用。</w:t>
      </w:r>
    </w:p>
    <w:p w14:paraId="0E7DF973">
      <w:pPr>
        <w:spacing w:line="0" w:lineRule="atLeas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[注意事项]</w:t>
      </w:r>
    </w:p>
    <w:p w14:paraId="18C34D22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1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忌烟、酒及辛辣、油腻食物。</w:t>
      </w:r>
    </w:p>
    <w:p w14:paraId="66CA713E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不宜在服药期间同时服用滋补性中药。</w:t>
      </w:r>
    </w:p>
    <w:p w14:paraId="75934216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3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本品不宜空腹含服。高剂量（一日6片）可能会引起腹痛腹泻。</w:t>
      </w:r>
    </w:p>
    <w:p w14:paraId="41691A32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4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脾胃虚寒、脾胃虚弱者慎用。</w:t>
      </w:r>
    </w:p>
    <w:p w14:paraId="476BF4D4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5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按照用法用量服用，孕妇、哺乳期妇女、年老体弱者应在医师指导下服用。</w:t>
      </w:r>
    </w:p>
    <w:p w14:paraId="7097108A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6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高血压、心脏病、肝病、糖尿病、肾病等患者应在医师指导下服用。</w:t>
      </w:r>
    </w:p>
    <w:p w14:paraId="1B205BB3">
      <w:pPr>
        <w:spacing w:line="0" w:lineRule="atLeast"/>
        <w:rPr>
          <w:b/>
          <w:szCs w:val="21"/>
        </w:rPr>
      </w:pPr>
      <w:r>
        <w:rPr>
          <w:b/>
          <w:szCs w:val="21"/>
        </w:rPr>
        <w:t>7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免疫系统疾病、口腔肿瘤等所致口腔溃疡者，应去医院就诊。</w:t>
      </w:r>
    </w:p>
    <w:p w14:paraId="51FBA380">
      <w:pPr>
        <w:spacing w:line="0" w:lineRule="atLeast"/>
        <w:rPr>
          <w:b/>
          <w:szCs w:val="21"/>
        </w:rPr>
      </w:pPr>
      <w:r>
        <w:rPr>
          <w:b/>
          <w:szCs w:val="21"/>
        </w:rPr>
        <w:t>8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服药3天症状无缓解，或服药期间症状加重，或出现新的严重症状，应去医院就诊。</w:t>
      </w:r>
    </w:p>
    <w:p w14:paraId="01AC7EBC">
      <w:pPr>
        <w:spacing w:line="0" w:lineRule="atLeast"/>
        <w:rPr>
          <w:b/>
          <w:szCs w:val="21"/>
        </w:rPr>
      </w:pPr>
      <w:r>
        <w:rPr>
          <w:b/>
          <w:szCs w:val="21"/>
        </w:rPr>
        <w:t>9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过敏体质者慎用。</w:t>
      </w:r>
    </w:p>
    <w:p w14:paraId="6E72A14D">
      <w:pPr>
        <w:spacing w:line="0" w:lineRule="atLeast"/>
        <w:rPr>
          <w:b/>
          <w:szCs w:val="21"/>
        </w:rPr>
      </w:pPr>
      <w:r>
        <w:rPr>
          <w:b/>
          <w:szCs w:val="21"/>
        </w:rPr>
        <w:t>10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本品性状发生改变时禁止使用。</w:t>
      </w:r>
    </w:p>
    <w:p w14:paraId="10C45E72">
      <w:pPr>
        <w:spacing w:line="0" w:lineRule="atLeast"/>
        <w:rPr>
          <w:b/>
          <w:szCs w:val="21"/>
        </w:rPr>
      </w:pPr>
      <w:r>
        <w:rPr>
          <w:b/>
          <w:szCs w:val="21"/>
        </w:rPr>
        <w:t>11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/>
          <w:b/>
          <w:szCs w:val="21"/>
        </w:rPr>
        <w:t>请将本品放在儿童不能接触的地方。</w:t>
      </w:r>
    </w:p>
    <w:p w14:paraId="07AC731B">
      <w:pPr>
        <w:spacing w:line="0" w:lineRule="atLeast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1</w:t>
      </w:r>
      <w:r>
        <w:rPr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.如正在使用其他药品，使用本品前请咨询医师或药师。</w:t>
      </w:r>
    </w:p>
    <w:p w14:paraId="5673E024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[药物相互作用]如与其他药物同时使用可能会发生药物相互作用，详情请咨询医师或药师</w:t>
      </w:r>
    </w:p>
    <w:p w14:paraId="7108B7D3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贮藏</w:t>
      </w:r>
      <w:r>
        <w:rPr>
          <w:rFonts w:ascii="宋体" w:hAnsi="宋体"/>
          <w:szCs w:val="21"/>
        </w:rPr>
        <w:t xml:space="preserve">] 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包装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有效期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执行标准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批准文号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说明书修订日期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药品上市许可持有人</w:t>
      </w:r>
      <w:r>
        <w:rPr>
          <w:rFonts w:ascii="宋体" w:hAnsi="宋体"/>
          <w:szCs w:val="21"/>
        </w:rPr>
        <w:t>]</w:t>
      </w:r>
    </w:p>
    <w:p w14:paraId="514A84D4">
      <w:pPr>
        <w:spacing w:line="0" w:lineRule="atLeast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名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称：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注册地址：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邮政编码：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电话号码：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传真号码：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网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址：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生产企业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企业名称：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生产地址：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b/>
          <w:szCs w:val="21"/>
        </w:rPr>
        <w:t>如有问题可与药品上市许可持有人联系。</w:t>
      </w:r>
    </w:p>
    <w:p w14:paraId="7A4F1F38">
      <w:pPr>
        <w:spacing w:line="0" w:lineRule="atLeast"/>
        <w:rPr>
          <w:rFonts w:ascii="宋体" w:hAnsi="宋体"/>
          <w:szCs w:val="21"/>
        </w:rPr>
      </w:pPr>
    </w:p>
    <w:p w14:paraId="0C80270E">
      <w:pPr>
        <w:spacing w:line="0" w:lineRule="atLeast"/>
        <w:rPr>
          <w:rFonts w:ascii="宋体" w:hAnsi="宋体"/>
          <w:szCs w:val="21"/>
        </w:rPr>
      </w:pPr>
    </w:p>
    <w:p w14:paraId="163DCD6B">
      <w:pPr>
        <w:spacing w:line="0" w:lineRule="atLeas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（注：本说明书范本原则上不得删除，如原批准说明书的安全性内容较本范本内容更全面或更严格的，应保留原批准内容。）</w:t>
      </w:r>
    </w:p>
    <w:p w14:paraId="2735CEFD">
      <w:pPr>
        <w:rPr>
          <w:rFonts w:ascii="黑体" w:hAnsi="黑体" w:eastAsia="黑体"/>
          <w:sz w:val="32"/>
          <w:szCs w:val="32"/>
        </w:rPr>
      </w:pPr>
    </w:p>
    <w:p w14:paraId="55A6B5F2">
      <w:pPr>
        <w:rPr>
          <w:rFonts w:ascii="黑体" w:hAnsi="黑体" w:eastAsia="黑体"/>
          <w:sz w:val="32"/>
          <w:szCs w:val="32"/>
        </w:rPr>
      </w:pPr>
    </w:p>
    <w:p w14:paraId="7DBB0E6B">
      <w:pPr>
        <w:rPr>
          <w:rFonts w:ascii="黑体" w:hAnsi="黑体" w:eastAsia="黑体"/>
          <w:sz w:val="32"/>
          <w:szCs w:val="32"/>
        </w:rPr>
      </w:pPr>
    </w:p>
    <w:p w14:paraId="31E72296">
      <w:pPr>
        <w:rPr>
          <w:rFonts w:ascii="黑体" w:hAnsi="黑体" w:eastAsia="黑体"/>
          <w:sz w:val="32"/>
          <w:szCs w:val="32"/>
        </w:rPr>
      </w:pPr>
    </w:p>
    <w:p w14:paraId="4611D036">
      <w:pPr>
        <w:rPr>
          <w:rFonts w:ascii="黑体" w:hAnsi="黑体" w:eastAsia="黑体"/>
          <w:sz w:val="32"/>
          <w:szCs w:val="32"/>
        </w:rPr>
      </w:pPr>
    </w:p>
    <w:p w14:paraId="657B8FE7">
      <w:pPr>
        <w:rPr>
          <w:rFonts w:ascii="黑体" w:hAnsi="黑体" w:eastAsia="黑体"/>
          <w:sz w:val="32"/>
          <w:szCs w:val="32"/>
        </w:rPr>
      </w:pPr>
    </w:p>
    <w:p w14:paraId="242F1F4C">
      <w:pPr>
        <w:rPr>
          <w:rFonts w:ascii="黑体" w:hAnsi="黑体" w:eastAsia="黑体"/>
          <w:sz w:val="32"/>
          <w:szCs w:val="32"/>
        </w:rPr>
      </w:pPr>
    </w:p>
    <w:p w14:paraId="27D5D35F">
      <w:pPr>
        <w:rPr>
          <w:rFonts w:ascii="黑体" w:hAnsi="黑体" w:eastAsia="黑体"/>
          <w:sz w:val="32"/>
          <w:szCs w:val="32"/>
        </w:rPr>
      </w:pPr>
    </w:p>
    <w:p w14:paraId="5D363033">
      <w:pPr>
        <w:rPr>
          <w:rFonts w:ascii="黑体" w:hAnsi="黑体" w:eastAsia="黑体"/>
          <w:sz w:val="32"/>
          <w:szCs w:val="32"/>
        </w:rPr>
      </w:pPr>
    </w:p>
    <w:p w14:paraId="63B80317">
      <w:pPr>
        <w:rPr>
          <w:rFonts w:ascii="黑体" w:hAnsi="黑体" w:eastAsia="黑体"/>
          <w:sz w:val="32"/>
          <w:szCs w:val="32"/>
        </w:rPr>
      </w:pPr>
    </w:p>
    <w:p w14:paraId="0E5C888D">
      <w:pPr>
        <w:rPr>
          <w:rFonts w:ascii="黑体" w:hAnsi="黑体" w:eastAsia="黑体"/>
          <w:sz w:val="32"/>
          <w:szCs w:val="32"/>
        </w:rPr>
      </w:pPr>
    </w:p>
    <w:p w14:paraId="087060BB">
      <w:pPr>
        <w:rPr>
          <w:rFonts w:ascii="黑体" w:hAnsi="黑体" w:eastAsia="黑体"/>
          <w:sz w:val="32"/>
          <w:szCs w:val="32"/>
        </w:rPr>
      </w:pPr>
    </w:p>
    <w:p w14:paraId="3C0C6584">
      <w:pPr>
        <w:rPr>
          <w:rFonts w:ascii="黑体" w:hAnsi="黑体" w:eastAsia="黑体"/>
          <w:sz w:val="32"/>
          <w:szCs w:val="32"/>
        </w:rPr>
      </w:pPr>
    </w:p>
    <w:p w14:paraId="48F2A06D">
      <w:pPr>
        <w:rPr>
          <w:rFonts w:ascii="黑体" w:hAnsi="黑体" w:eastAsia="黑体"/>
          <w:sz w:val="32"/>
          <w:szCs w:val="32"/>
        </w:rPr>
      </w:pPr>
    </w:p>
    <w:p w14:paraId="7FA67327">
      <w:pPr>
        <w:keepNext/>
        <w:keepLines/>
        <w:spacing w:before="0" w:after="0" w:line="600" w:lineRule="exact"/>
        <w:jc w:val="center"/>
        <w:outlineLvl w:val="1"/>
        <w:rPr>
          <w:rFonts w:ascii="宋体" w:hAnsi="宋体" w:cs="宋体"/>
          <w:b/>
          <w:sz w:val="30"/>
          <w:szCs w:val="20"/>
        </w:rPr>
      </w:pPr>
    </w:p>
    <w:p w14:paraId="0B119B08">
      <w:pPr>
        <w:keepNext/>
        <w:keepLines/>
        <w:spacing w:before="0" w:after="0" w:line="600" w:lineRule="exact"/>
        <w:jc w:val="center"/>
        <w:outlineLvl w:val="1"/>
        <w:rPr>
          <w:rFonts w:ascii="宋体" w:hAnsi="宋体" w:cs="宋体"/>
          <w:b/>
          <w:sz w:val="30"/>
          <w:szCs w:val="20"/>
        </w:rPr>
      </w:pPr>
    </w:p>
    <w:p w14:paraId="0E391A8E">
      <w:pPr>
        <w:keepNext/>
        <w:keepLines/>
        <w:spacing w:before="0" w:after="0" w:line="600" w:lineRule="exact"/>
        <w:jc w:val="center"/>
        <w:outlineLvl w:val="1"/>
        <w:rPr>
          <w:rFonts w:ascii="宋体" w:hAnsi="宋体" w:cs="宋体"/>
          <w:b/>
          <w:sz w:val="30"/>
          <w:szCs w:val="20"/>
        </w:rPr>
      </w:pPr>
    </w:p>
    <w:p w14:paraId="3C168BF7">
      <w:pPr>
        <w:keepNext/>
        <w:keepLines/>
        <w:spacing w:before="0" w:after="0" w:line="600" w:lineRule="exact"/>
        <w:jc w:val="center"/>
        <w:outlineLvl w:val="1"/>
        <w:rPr>
          <w:rFonts w:ascii="宋体" w:hAnsi="宋体" w:cs="宋体"/>
          <w:b/>
          <w:sz w:val="30"/>
          <w:szCs w:val="20"/>
        </w:rPr>
      </w:pPr>
    </w:p>
    <w:p w14:paraId="6339820D"/>
    <w:p w14:paraId="6F951D1A">
      <w:pPr>
        <w:keepNext/>
        <w:keepLines/>
        <w:spacing w:before="0" w:after="0" w:line="600" w:lineRule="exact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/>
          <w:b/>
          <w:sz w:val="30"/>
          <w:szCs w:val="20"/>
        </w:rPr>
        <w:t>山香圆含片说明书</w:t>
      </w:r>
    </w:p>
    <w:p w14:paraId="669998AF">
      <w:pPr>
        <w:spacing w:line="0" w:lineRule="atLeast"/>
        <w:jc w:val="center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请仔细阅读说明书并按说明使用或在药师指导下购买和使用</w:t>
      </w:r>
    </w:p>
    <w:p w14:paraId="5256EB4A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[药品名称]</w:t>
      </w:r>
    </w:p>
    <w:p w14:paraId="5F9C18CC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通用名称：</w:t>
      </w:r>
      <w:r>
        <w:rPr>
          <w:rFonts w:hint="eastAsia" w:ascii="宋体" w:hAnsi="宋体"/>
          <w:szCs w:val="21"/>
        </w:rPr>
        <w:t>山香圆含片</w:t>
      </w:r>
    </w:p>
    <w:p w14:paraId="734FBF1F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汉语拼音：</w:t>
      </w:r>
    </w:p>
    <w:p w14:paraId="565237BB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[成份]</w:t>
      </w:r>
    </w:p>
    <w:p w14:paraId="03328F9A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[性状]</w:t>
      </w:r>
    </w:p>
    <w:p w14:paraId="7173B861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[功能主治]</w:t>
      </w:r>
      <w:r>
        <w:rPr>
          <w:rFonts w:hint="eastAsia" w:ascii="宋体" w:hAnsi="宋体"/>
          <w:szCs w:val="21"/>
        </w:rPr>
        <w:t>清热解毒，利咽消肿。用于风热上攻，肺胃热盛所致喉痹、乳蛾，症见：发热，咽部红肿疼痛，吞咽困难，喉核肿大，口臭便秘；急性咽炎、扁桃体炎见上述证候者。</w:t>
      </w:r>
    </w:p>
    <w:p w14:paraId="2723AB6C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[规格]</w:t>
      </w:r>
      <w:r>
        <w:rPr>
          <w:rFonts w:hint="eastAsia" w:ascii="宋体" w:hAnsi="宋体"/>
          <w:szCs w:val="21"/>
        </w:rPr>
        <w:t>每片重</w:t>
      </w:r>
      <w:r>
        <w:rPr>
          <w:szCs w:val="21"/>
        </w:rPr>
        <w:t>1.0</w:t>
      </w:r>
      <w:r>
        <w:rPr>
          <w:rFonts w:hint="eastAsia" w:ascii="宋体" w:hAnsi="宋体"/>
          <w:szCs w:val="21"/>
        </w:rPr>
        <w:t>克</w:t>
      </w:r>
    </w:p>
    <w:p w14:paraId="545BC229">
      <w:pPr>
        <w:spacing w:line="0" w:lineRule="atLeast"/>
        <w:rPr>
          <w:szCs w:val="21"/>
        </w:rPr>
      </w:pPr>
      <w:r>
        <w:rPr>
          <w:rFonts w:ascii="宋体" w:hAnsi="宋体"/>
          <w:szCs w:val="21"/>
        </w:rPr>
        <w:t>[用法用量]</w:t>
      </w:r>
      <w:r>
        <w:rPr>
          <w:rFonts w:hint="eastAsia" w:ascii="宋体" w:hAnsi="宋体"/>
          <w:szCs w:val="21"/>
        </w:rPr>
        <w:t>含服。一次</w:t>
      </w:r>
      <w:r>
        <w:rPr>
          <w:rFonts w:hint="eastAsia"/>
          <w:szCs w:val="21"/>
        </w:rPr>
        <w:t>1</w:t>
      </w:r>
      <w:r>
        <w:rPr>
          <w:rFonts w:hint="eastAsia" w:ascii="宋体" w:hAnsi="宋体"/>
          <w:szCs w:val="21"/>
        </w:rPr>
        <w:t>片，</w:t>
      </w:r>
      <w:r>
        <w:rPr>
          <w:rFonts w:hint="eastAsia"/>
          <w:szCs w:val="21"/>
        </w:rPr>
        <w:t>一小时2次，一日18次。疗程5天。</w:t>
      </w:r>
    </w:p>
    <w:p w14:paraId="43DB40EF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[不良反应]</w:t>
      </w:r>
    </w:p>
    <w:p w14:paraId="41AFA229">
      <w:pPr>
        <w:spacing w:line="0" w:lineRule="atLeast"/>
        <w:rPr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偶有恶心，上腹部不适。</w:t>
      </w:r>
    </w:p>
    <w:p w14:paraId="6C9C44D6">
      <w:pPr>
        <w:spacing w:line="0" w:lineRule="atLeast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上市后监测数据显示，本品可见腹泻、皮疹等不良反应报告。</w:t>
      </w:r>
    </w:p>
    <w:p w14:paraId="3E1FB2F6">
      <w:pPr>
        <w:spacing w:line="0" w:lineRule="atLeas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[禁忌]</w:t>
      </w:r>
      <w:r>
        <w:rPr>
          <w:rFonts w:hint="eastAsia" w:ascii="宋体" w:hAnsi="宋体"/>
          <w:b/>
          <w:szCs w:val="21"/>
        </w:rPr>
        <w:t>对本品及所含成份过敏者禁用。</w:t>
      </w:r>
    </w:p>
    <w:p w14:paraId="2243B283">
      <w:pPr>
        <w:spacing w:line="0" w:lineRule="atLeast"/>
        <w:rPr>
          <w:b/>
          <w:szCs w:val="21"/>
        </w:rPr>
      </w:pPr>
      <w:r>
        <w:rPr>
          <w:b/>
          <w:szCs w:val="21"/>
        </w:rPr>
        <w:t>[注意事项]</w:t>
      </w:r>
    </w:p>
    <w:p w14:paraId="758E54A6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1.忌辛辣、鱼腥食物。</w:t>
      </w:r>
    </w:p>
    <w:p w14:paraId="5FD9723E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2.不宜在服药期间同时服用温补性中成药。</w:t>
      </w:r>
    </w:p>
    <w:p w14:paraId="20458918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3</w:t>
      </w:r>
      <w:r>
        <w:rPr>
          <w:b/>
          <w:szCs w:val="21"/>
        </w:rPr>
        <w:t>.</w:t>
      </w:r>
      <w:r>
        <w:rPr>
          <w:rFonts w:hint="eastAsia"/>
          <w:b/>
          <w:szCs w:val="21"/>
        </w:rPr>
        <w:t>孕妇慎用。哺乳期妇女、年老体弱者应在医师指导下服用。</w:t>
      </w:r>
    </w:p>
    <w:p w14:paraId="07FA1C81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4.脾气虚寒症见有大便溏者慎用。</w:t>
      </w:r>
    </w:p>
    <w:p w14:paraId="5F412F7D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5.扁桃体化脓及全身高热者应去医院就诊。</w:t>
      </w:r>
    </w:p>
    <w:p w14:paraId="254C3C6E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6.服药3天后症状无改善，或出现其他症状，应去医院就诊。</w:t>
      </w:r>
    </w:p>
    <w:p w14:paraId="5448A3CD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7.按照用法用量服用，高血压、心脏病、肝病、糖尿病、肾病等患者应在医师指导下服用。</w:t>
      </w:r>
    </w:p>
    <w:p w14:paraId="5AD82E80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8.过敏体质者慎用。</w:t>
      </w:r>
    </w:p>
    <w:p w14:paraId="0ADE28AA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9.本品性状发生改变时禁止使用。</w:t>
      </w:r>
    </w:p>
    <w:p w14:paraId="323D787E">
      <w:pPr>
        <w:spacing w:line="0" w:lineRule="atLeast"/>
        <w:rPr>
          <w:b/>
          <w:szCs w:val="21"/>
        </w:rPr>
      </w:pPr>
      <w:r>
        <w:rPr>
          <w:rFonts w:hint="eastAsia"/>
          <w:b/>
          <w:szCs w:val="21"/>
        </w:rPr>
        <w:t>10.请将本品放在儿童不能接触的地方。</w:t>
      </w:r>
    </w:p>
    <w:p w14:paraId="44E79C63">
      <w:pPr>
        <w:spacing w:line="0" w:lineRule="atLeast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11.</w:t>
      </w:r>
      <w:r>
        <w:rPr>
          <w:rFonts w:hint="eastAsia" w:ascii="宋体" w:hAnsi="宋体"/>
          <w:b/>
          <w:szCs w:val="21"/>
        </w:rPr>
        <w:t>如正在使用其他药品，使用本品前请咨询医师或药师。</w:t>
      </w:r>
    </w:p>
    <w:p w14:paraId="2D60AF97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[药物相互作用]如与其他药物同时使用可能会发生药物相互作用，详情请咨询医师或药师</w:t>
      </w:r>
    </w:p>
    <w:p w14:paraId="4E9EB133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贮藏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包装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有效期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执行标准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批准文号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说明书修订日期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药品上市许可持有人</w:t>
      </w:r>
      <w:r>
        <w:rPr>
          <w:rFonts w:ascii="宋体" w:hAnsi="宋体"/>
          <w:szCs w:val="21"/>
        </w:rPr>
        <w:t>]</w:t>
      </w:r>
    </w:p>
    <w:p w14:paraId="5E2FCA32">
      <w:pPr>
        <w:spacing w:line="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名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称：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注册地址：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邮政编码：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电话号码：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传真号码：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网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址：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生产企业</w:t>
      </w:r>
      <w:r>
        <w:rPr>
          <w:rFonts w:ascii="宋体" w:hAnsi="宋体"/>
          <w:szCs w:val="21"/>
        </w:rPr>
        <w:t>]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企业名称：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生产地址：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b/>
          <w:szCs w:val="21"/>
        </w:rPr>
        <w:t>如有问题可与药品上市许可持有人联系。</w:t>
      </w:r>
    </w:p>
    <w:p w14:paraId="48352999">
      <w:pPr>
        <w:spacing w:line="0" w:lineRule="atLeast"/>
        <w:rPr>
          <w:rFonts w:ascii="宋体" w:hAnsi="宋体"/>
          <w:szCs w:val="21"/>
        </w:rPr>
      </w:pPr>
    </w:p>
    <w:p w14:paraId="00E8D760">
      <w:pPr>
        <w:spacing w:line="0" w:lineRule="atLeast"/>
        <w:rPr>
          <w:kern w:val="0"/>
          <w:lang w:bidi="ar"/>
        </w:rPr>
      </w:pPr>
    </w:p>
    <w:p w14:paraId="1C998C9D">
      <w:pPr>
        <w:spacing w:line="0" w:lineRule="atLeast"/>
        <w:ind w:firstLine="420" w:firstLineChars="200"/>
      </w:pPr>
      <w:r>
        <w:rPr>
          <w:rFonts w:hint="eastAsia"/>
          <w:kern w:val="0"/>
          <w:lang w:bidi="ar"/>
        </w:rPr>
        <w:t>（注：本说明书范本原则上不得删减，如原批准说明书的安全性内容较本范本内容更全面或更严格的，应保留原批准内容。）</w:t>
      </w:r>
    </w:p>
    <w:p w14:paraId="3176FDFF">
      <w:pPr>
        <w:rPr>
          <w:rFonts w:ascii="黑体" w:hAnsi="黑体" w:eastAsia="黑体"/>
          <w:sz w:val="32"/>
          <w:szCs w:val="32"/>
        </w:rPr>
      </w:pPr>
    </w:p>
    <w:p w14:paraId="632DBEFD"/>
    <w:p w14:paraId="431525DB"/>
    <w:p w14:paraId="6D65FDF9">
      <w:pPr>
        <w:rPr>
          <w:rFonts w:hint="eastAsia" w:ascii="仿宋_GB2312" w:hAnsi="华文仿宋" w:eastAsia="仿宋_GB2312"/>
          <w:sz w:val="32"/>
          <w:szCs w:val="32"/>
        </w:rPr>
      </w:pPr>
    </w:p>
    <w:p w14:paraId="6BDC96FA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C5B4FE4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69338C9A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88CC05A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DA0E201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9595DBE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DD8C70C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29A7AB19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A31CD5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4EC7031B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3B741FB3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6E1D43C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06D8572D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7787F6A7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518E872A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10C82EA5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color w:val="000000"/>
          <w:sz w:val="30"/>
          <w:szCs w:val="20"/>
        </w:rPr>
      </w:pPr>
      <w:r>
        <w:rPr>
          <w:rFonts w:hint="eastAsia" w:ascii="宋体" w:hAnsi="宋体" w:cs="宋体"/>
          <w:b/>
          <w:color w:val="000000"/>
          <w:sz w:val="30"/>
          <w:szCs w:val="20"/>
        </w:rPr>
        <w:t>参芪五味子胶囊说明书</w:t>
      </w:r>
    </w:p>
    <w:p w14:paraId="0E7E6B17">
      <w:pPr>
        <w:spacing w:line="30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请仔细阅读说明书并按说明使用或在药师指导下购买和使用</w:t>
      </w:r>
    </w:p>
    <w:p w14:paraId="6FD2A1B8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14:paraId="26BF8C5C"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通用名称：参芪五味子胶囊</w:t>
      </w:r>
    </w:p>
    <w:p w14:paraId="07D1D571"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14:paraId="641B1D5B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14:paraId="53ECF178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14:paraId="5DE4B62A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功能主治]健脾益气，宁心安神。用于气血不足、心脾两虚所致的失眠、多梦、健忘、乏力、心悸、气短、自汗。</w:t>
      </w:r>
    </w:p>
    <w:p w14:paraId="0A377AF5">
      <w:pPr>
        <w:spacing w:line="280" w:lineRule="exact"/>
        <w:rPr>
          <w:rFonts w:eastAsia="宋体"/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每粒装0.2克</w:t>
      </w:r>
    </w:p>
    <w:p w14:paraId="2F456AD9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口服。一次3～5粒，一日3次。</w:t>
      </w:r>
    </w:p>
    <w:p w14:paraId="78D894D4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上市后监测数据显示，本品可见以下不良反应报告：恶心、呕吐、腹泻、腹痛、腹胀、腹部不适、便秘、口干、皮疹、瘙痒、头晕、头痛、胸部不适等。</w:t>
      </w:r>
    </w:p>
    <w:p w14:paraId="11CC9F05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 xml:space="preserve">] </w:t>
      </w:r>
      <w:r>
        <w:rPr>
          <w:rFonts w:hint="eastAsia"/>
          <w:b/>
          <w:bCs/>
          <w:szCs w:val="21"/>
        </w:rPr>
        <w:t>对本品及所含成份过敏者禁用。</w:t>
      </w:r>
    </w:p>
    <w:p w14:paraId="7A028B8A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14:paraId="2659EE25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1.忌不易消化食物。</w:t>
      </w:r>
    </w:p>
    <w:p w14:paraId="6C955B28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2.感冒发热病人不宜服用。</w:t>
      </w:r>
    </w:p>
    <w:p w14:paraId="1AF33739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3.高血压、心脏病、肝病、糖尿病、肾病等患者应在医师指导下服用。</w:t>
      </w:r>
    </w:p>
    <w:p w14:paraId="7E0ED0F0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4.孕妇、哺乳期妇女应在医师指导下服用。</w:t>
      </w:r>
    </w:p>
    <w:p w14:paraId="7D36F4F9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心悸严重者应去医院就诊。</w:t>
      </w:r>
    </w:p>
    <w:p w14:paraId="099714B1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.服药4周症状无缓解，或症状加重，或出现新的严重症状，应去医院就诊。</w:t>
      </w:r>
    </w:p>
    <w:p w14:paraId="056E35C3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7</w:t>
      </w:r>
      <w:r>
        <w:rPr>
          <w:rFonts w:hint="eastAsia"/>
          <w:b/>
          <w:bCs/>
          <w:szCs w:val="21"/>
        </w:rPr>
        <w:t>.过敏体质者慎用。</w:t>
      </w:r>
    </w:p>
    <w:p w14:paraId="46B61212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8</w:t>
      </w:r>
      <w:r>
        <w:rPr>
          <w:rFonts w:hint="eastAsia"/>
          <w:b/>
          <w:bCs/>
          <w:szCs w:val="21"/>
        </w:rPr>
        <w:t>.本品性状发生改变时禁止使用。</w:t>
      </w:r>
    </w:p>
    <w:p w14:paraId="06D8DBF0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9</w:t>
      </w:r>
      <w:r>
        <w:rPr>
          <w:rFonts w:hint="eastAsia"/>
          <w:b/>
          <w:bCs/>
          <w:szCs w:val="21"/>
        </w:rPr>
        <w:t>.请将本品放在儿童不能接触的地方。</w:t>
      </w:r>
    </w:p>
    <w:p w14:paraId="5FA244A2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10</w:t>
      </w:r>
      <w:r>
        <w:rPr>
          <w:rFonts w:hint="eastAsia"/>
          <w:b/>
          <w:bCs/>
          <w:szCs w:val="21"/>
        </w:rPr>
        <w:t>.如正在使用其他药品，使用本品前请咨询医师或药师。</w:t>
      </w:r>
    </w:p>
    <w:p w14:paraId="3F7ADFA4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药物相互作用]如与其他药物同时使用可能会发生药物相互作用，详情请咨询医师或药师。</w:t>
      </w:r>
    </w:p>
    <w:p w14:paraId="6AA61628">
      <w:r>
        <w:t>[</w:t>
      </w:r>
      <w:r>
        <w:rPr>
          <w:rFonts w:hint="eastAsia"/>
        </w:rPr>
        <w:t>贮藏</w:t>
      </w:r>
      <w:r>
        <w:t xml:space="preserve">] </w:t>
      </w:r>
      <w:r>
        <w:br w:type="textWrapping"/>
      </w:r>
      <w:r>
        <w:t>[</w:t>
      </w:r>
      <w:r>
        <w:rPr>
          <w:rFonts w:hint="eastAsia"/>
        </w:rPr>
        <w:t>包装</w:t>
      </w:r>
      <w:r>
        <w:t>]</w:t>
      </w:r>
      <w:r>
        <w:br w:type="textWrapping"/>
      </w:r>
      <w:r>
        <w:t>[</w:t>
      </w:r>
      <w:r>
        <w:rPr>
          <w:rFonts w:hint="eastAsia"/>
        </w:rPr>
        <w:t>有效期</w:t>
      </w:r>
      <w:r>
        <w:t>]</w:t>
      </w:r>
      <w:r>
        <w:br w:type="textWrapping"/>
      </w:r>
      <w:r>
        <w:t>[</w:t>
      </w:r>
      <w:r>
        <w:rPr>
          <w:rFonts w:hint="eastAsia"/>
        </w:rPr>
        <w:t>执行标准</w:t>
      </w:r>
      <w:r>
        <w:t>]</w:t>
      </w:r>
      <w:r>
        <w:br w:type="textWrapping"/>
      </w:r>
      <w:r>
        <w:t>[</w:t>
      </w:r>
      <w:r>
        <w:rPr>
          <w:rFonts w:hint="eastAsia"/>
        </w:rPr>
        <w:t>批准文号</w:t>
      </w:r>
      <w:r>
        <w:t>]</w:t>
      </w:r>
      <w:r>
        <w:br w:type="textWrapping"/>
      </w:r>
      <w:r>
        <w:t>[</w:t>
      </w:r>
      <w:r>
        <w:rPr>
          <w:rFonts w:hint="eastAsia"/>
        </w:rPr>
        <w:t>说明书修订日期</w:t>
      </w:r>
      <w:r>
        <w:t>]</w:t>
      </w:r>
      <w:r>
        <w:br w:type="textWrapping"/>
      </w:r>
      <w:r>
        <w:t>[</w:t>
      </w:r>
      <w:r>
        <w:rPr>
          <w:rFonts w:hint="eastAsia"/>
        </w:rPr>
        <w:t>药品上市许可持有人</w:t>
      </w:r>
      <w:r>
        <w:t>]</w:t>
      </w:r>
    </w:p>
    <w:p w14:paraId="692C9F9E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 w:type="textWrapping"/>
      </w:r>
      <w:r>
        <w:rPr>
          <w:rFonts w:hint="eastAsia"/>
        </w:rPr>
        <w:t>注册地址：</w:t>
      </w:r>
      <w:r>
        <w:br w:type="textWrapping"/>
      </w:r>
      <w:r>
        <w:rPr>
          <w:rFonts w:hint="eastAsia"/>
        </w:rPr>
        <w:t>邮政编码：</w:t>
      </w:r>
      <w:r>
        <w:br w:type="textWrapping"/>
      </w:r>
      <w:r>
        <w:rPr>
          <w:rFonts w:hint="eastAsia"/>
        </w:rPr>
        <w:t>电话号码：</w:t>
      </w:r>
      <w:r>
        <w:br w:type="textWrapping"/>
      </w:r>
      <w:r>
        <w:rPr>
          <w:rFonts w:hint="eastAsia"/>
        </w:rPr>
        <w:t>传真号码：</w:t>
      </w:r>
      <w:r>
        <w:br w:type="textWrapping"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14:paraId="2356EF44">
      <w:pPr>
        <w:rPr>
          <w:b/>
          <w:bCs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 w:type="textWrapping"/>
      </w:r>
      <w:r>
        <w:rPr>
          <w:rFonts w:hint="eastAsia"/>
        </w:rPr>
        <w:t>企业名称：</w:t>
      </w:r>
      <w:r>
        <w:t xml:space="preserve"> </w:t>
      </w:r>
      <w:r>
        <w:br w:type="textWrapping"/>
      </w:r>
      <w:r>
        <w:rPr>
          <w:rFonts w:hint="eastAsia"/>
        </w:rPr>
        <w:t>生产地址：</w:t>
      </w:r>
      <w:r>
        <w:br w:type="textWrapping"/>
      </w:r>
      <w:r>
        <w:rPr>
          <w:rFonts w:hint="eastAsia"/>
          <w:b/>
          <w:bCs/>
        </w:rPr>
        <w:t>如有问题可与药品上市许可持有人联系。</w:t>
      </w:r>
    </w:p>
    <w:p w14:paraId="498D5591">
      <w:pPr>
        <w:rPr>
          <w:b/>
          <w:bCs/>
        </w:rPr>
      </w:pPr>
    </w:p>
    <w:p w14:paraId="6EB9F26C">
      <w:pPr>
        <w:ind w:firstLine="210" w:firstLineChars="100"/>
        <w:rPr>
          <w:b/>
          <w:bCs/>
        </w:rPr>
      </w:pPr>
      <w:r>
        <w:rPr>
          <w:rFonts w:hint="eastAsia" w:ascii="Calibri" w:hAnsi="Calibri"/>
          <w:color w:val="000000"/>
          <w:szCs w:val="21"/>
        </w:rPr>
        <w:t>（注：本说明书范本原则上不得删减，如原批准说明书的安全性内容较本范本内容更全面或者更严格的，应当保留原批准内容。）</w:t>
      </w:r>
    </w:p>
    <w:p w14:paraId="4BBC7A2D"/>
    <w:p w14:paraId="26E6D4CA"/>
    <w:p w14:paraId="2265EC44"/>
    <w:p w14:paraId="326C4E4A"/>
    <w:p w14:paraId="7BEB10F4"/>
    <w:p w14:paraId="6D63C60A"/>
    <w:p w14:paraId="59192F1B"/>
    <w:p w14:paraId="03065634"/>
    <w:p w14:paraId="04CF74CB"/>
    <w:p w14:paraId="4EC9EB93"/>
    <w:p w14:paraId="1B669CE7"/>
    <w:p w14:paraId="65C2531C"/>
    <w:p w14:paraId="6797DB45"/>
    <w:p w14:paraId="75B7AA85"/>
    <w:p w14:paraId="1CBE2216"/>
    <w:p w14:paraId="6C3512EB"/>
    <w:p w14:paraId="191BBF57"/>
    <w:p w14:paraId="6D3B9DE9"/>
    <w:p w14:paraId="764EEEB9"/>
    <w:p w14:paraId="2212F9D0"/>
    <w:p w14:paraId="02042825"/>
    <w:p w14:paraId="536A896B"/>
    <w:p w14:paraId="218650C9"/>
    <w:p w14:paraId="242F48F8"/>
    <w:p w14:paraId="1AD1CC15"/>
    <w:p w14:paraId="13C3580A"/>
    <w:p w14:paraId="6684EE24"/>
    <w:p w14:paraId="29D3A568"/>
    <w:p w14:paraId="3CE570A4"/>
    <w:p w14:paraId="35574B09"/>
    <w:p w14:paraId="4A6DC44D"/>
    <w:p w14:paraId="43874BD1"/>
    <w:p w14:paraId="24303186"/>
    <w:p w14:paraId="1CBC119F"/>
    <w:p w14:paraId="64E6AAA5"/>
    <w:p w14:paraId="23C295F9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color w:val="000000"/>
          <w:sz w:val="30"/>
          <w:szCs w:val="20"/>
        </w:rPr>
      </w:pPr>
      <w:r>
        <w:rPr>
          <w:rFonts w:hint="eastAsia" w:ascii="宋体" w:hAnsi="宋体" w:cs="宋体"/>
          <w:b/>
          <w:color w:val="000000"/>
          <w:sz w:val="30"/>
          <w:szCs w:val="20"/>
        </w:rPr>
        <w:t>清咳平喘颗粒说明书</w:t>
      </w:r>
    </w:p>
    <w:p w14:paraId="3639DEBA">
      <w:pPr>
        <w:spacing w:line="30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请仔细阅读说明书并按说明使用或在药师指导下购买和使用</w:t>
      </w:r>
    </w:p>
    <w:p w14:paraId="74CAD8C2">
      <w:pPr>
        <w:spacing w:line="30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本品含麻黄，运动员慎用</w:t>
      </w:r>
    </w:p>
    <w:p w14:paraId="142F5B21">
      <w:pPr>
        <w:spacing w:line="300" w:lineRule="exact"/>
        <w:rPr>
          <w:rFonts w:ascii="宋体" w:hAnsi="宋体"/>
          <w:sz w:val="28"/>
          <w:szCs w:val="28"/>
        </w:rPr>
      </w:pPr>
    </w:p>
    <w:p w14:paraId="02C0DFAD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药品名称</w:t>
      </w:r>
      <w:r>
        <w:rPr>
          <w:rFonts w:ascii="宋体" w:hAnsi="宋体"/>
          <w:szCs w:val="21"/>
        </w:rPr>
        <w:t>]</w:t>
      </w:r>
    </w:p>
    <w:p w14:paraId="2BC77A46">
      <w:pPr>
        <w:spacing w:line="28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通用名称：清咳平喘颗粒</w:t>
      </w:r>
    </w:p>
    <w:p w14:paraId="144DCDE3">
      <w:pPr>
        <w:spacing w:line="28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汉语拼音：</w:t>
      </w:r>
    </w:p>
    <w:p w14:paraId="2C71670F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成份</w:t>
      </w:r>
      <w:r>
        <w:rPr>
          <w:rFonts w:ascii="宋体" w:hAnsi="宋体"/>
          <w:szCs w:val="21"/>
        </w:rPr>
        <w:t>]</w:t>
      </w:r>
    </w:p>
    <w:p w14:paraId="4E5B9816">
      <w:pPr>
        <w:spacing w:line="28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性状</w:t>
      </w:r>
      <w:r>
        <w:rPr>
          <w:rFonts w:ascii="宋体" w:hAnsi="宋体"/>
          <w:szCs w:val="21"/>
        </w:rPr>
        <w:t>]</w:t>
      </w:r>
    </w:p>
    <w:p w14:paraId="36D9879D">
      <w:pPr>
        <w:spacing w:line="28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功能主治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清热宣肺，止咳平喘。用于急性支气管炎、慢性支气管炎急性发作属痰热郁肺证，症见：咳嗽气急，甚或喘息，咯痰色黄或不爽，发热，咽痛，便干，苔黄或黄腻等。</w:t>
      </w:r>
    </w:p>
    <w:p w14:paraId="54324CBD">
      <w:pPr>
        <w:spacing w:line="28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规格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每袋装10克</w:t>
      </w:r>
    </w:p>
    <w:p w14:paraId="6858D993">
      <w:pPr>
        <w:spacing w:line="28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用法用量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开水冲服。一次10克，一日3次。</w:t>
      </w:r>
    </w:p>
    <w:p w14:paraId="395D7BCC">
      <w:pPr>
        <w:spacing w:line="28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不良反应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 w:cs="微软雅黑"/>
        </w:rPr>
        <w:t>监测数据及文献报道显示，本品可见以下不良反应报告：恶心、呕吐、腹泻、腹部不适、腹痛、胃不适、腹胀、皮疹、瘙痒、心悸、胸部不适等。本品有用药后出现肝功能异常的个例报告。</w:t>
      </w:r>
    </w:p>
    <w:p w14:paraId="4E0C17E2">
      <w:pPr>
        <w:spacing w:line="0" w:lineRule="atLeast"/>
        <w:rPr>
          <w:b/>
        </w:rPr>
      </w:pPr>
      <w:r>
        <w:rPr>
          <w:rFonts w:ascii="宋体" w:hAnsi="宋体"/>
          <w:b/>
          <w:bCs/>
          <w:szCs w:val="21"/>
        </w:rPr>
        <w:t>[</w:t>
      </w:r>
      <w:r>
        <w:rPr>
          <w:rFonts w:hint="eastAsia" w:ascii="宋体" w:hAnsi="宋体"/>
          <w:b/>
          <w:bCs/>
          <w:szCs w:val="21"/>
        </w:rPr>
        <w:t>禁忌</w:t>
      </w:r>
      <w:r>
        <w:rPr>
          <w:rFonts w:ascii="宋体" w:hAnsi="宋体"/>
          <w:b/>
          <w:bCs/>
          <w:szCs w:val="21"/>
        </w:rPr>
        <w:t>]</w:t>
      </w:r>
      <w:r>
        <w:rPr>
          <w:rFonts w:hint="eastAsia" w:ascii="Times" w:hAnsi="Times"/>
          <w:b/>
          <w:bCs/>
          <w:szCs w:val="21"/>
        </w:rPr>
        <w:t>对本品及所含成份过敏者禁用。</w:t>
      </w:r>
    </w:p>
    <w:p w14:paraId="697187C5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[</w:t>
      </w:r>
      <w:r>
        <w:rPr>
          <w:rFonts w:hint="eastAsia" w:ascii="Times" w:hAnsi="Times"/>
          <w:b/>
          <w:bCs/>
          <w:szCs w:val="21"/>
        </w:rPr>
        <w:t>注意事项</w:t>
      </w:r>
      <w:r>
        <w:rPr>
          <w:rFonts w:ascii="宋体" w:hAnsi="宋体"/>
          <w:b/>
          <w:bCs/>
          <w:szCs w:val="21"/>
        </w:rPr>
        <w:t>]</w:t>
      </w:r>
    </w:p>
    <w:p w14:paraId="32B49219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</w:t>
      </w:r>
      <w:r>
        <w:rPr>
          <w:rFonts w:hint="eastAsia" w:ascii="宋体" w:hAnsi="宋体"/>
          <w:b/>
          <w:bCs/>
          <w:szCs w:val="21"/>
        </w:rPr>
        <w:t>．忌烟、酒及辛辣、油腻食物。</w:t>
      </w:r>
    </w:p>
    <w:p w14:paraId="2DB1DFFF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2．不宜在服药期间同时服用滋补性中药。</w:t>
      </w:r>
    </w:p>
    <w:p w14:paraId="4A334000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3</w:t>
      </w:r>
      <w:r>
        <w:rPr>
          <w:rFonts w:hint="eastAsia" w:ascii="宋体" w:hAnsi="宋体"/>
          <w:b/>
          <w:bCs/>
          <w:szCs w:val="21"/>
        </w:rPr>
        <w:t>．本品含麻黄，运动员慎用；用药期间应关注心率、心律的变化，如有不适及时就医。</w:t>
      </w:r>
    </w:p>
    <w:p w14:paraId="0F823F35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4</w:t>
      </w:r>
      <w:r>
        <w:rPr>
          <w:rFonts w:ascii="宋体" w:hAnsi="宋体"/>
          <w:b/>
          <w:bCs/>
          <w:szCs w:val="21"/>
        </w:rPr>
        <w:t xml:space="preserve">. </w:t>
      </w:r>
      <w:r>
        <w:rPr>
          <w:rFonts w:hint="eastAsia" w:ascii="宋体" w:hAnsi="宋体"/>
          <w:b/>
          <w:bCs/>
          <w:szCs w:val="21"/>
        </w:rPr>
        <w:t>高血压、心脏病患者慎用，如确需使用，应在医师指导下服用。</w:t>
      </w:r>
    </w:p>
    <w:p w14:paraId="4D491205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5．本品不宜用于咳白稀痰者，平素脾胃虚寒者慎用。</w:t>
      </w:r>
    </w:p>
    <w:p w14:paraId="21D9D037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6</w:t>
      </w:r>
      <w:r>
        <w:rPr>
          <w:rFonts w:hint="eastAsia" w:ascii="宋体" w:hAnsi="宋体"/>
          <w:b/>
          <w:bCs/>
          <w:szCs w:val="21"/>
        </w:rPr>
        <w:t>．本品含蔗糖，糖尿病患者慎用，如确需使用，应在医师指导下服用。</w:t>
      </w:r>
    </w:p>
    <w:p w14:paraId="5E7E90E3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 xml:space="preserve">7. </w:t>
      </w:r>
      <w:r>
        <w:rPr>
          <w:rFonts w:hint="eastAsia" w:ascii="宋体" w:hAnsi="宋体"/>
          <w:b/>
          <w:bCs/>
          <w:szCs w:val="21"/>
        </w:rPr>
        <w:t>肝病、肾病等患者应在医师指导下服用。</w:t>
      </w:r>
    </w:p>
    <w:p w14:paraId="7DC8D868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8．按照用法用量服用，年老体弱者应在医师指导下服用。</w:t>
      </w:r>
    </w:p>
    <w:p w14:paraId="4EBE9996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9．支气管扩张、肺脓疡、肺心病、肺结核、肺癌等患者出现咳嗽时应去医院就诊。</w:t>
      </w:r>
    </w:p>
    <w:p w14:paraId="4D8EEE11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10</w:t>
      </w:r>
      <w:r>
        <w:rPr>
          <w:rFonts w:hint="eastAsia" w:ascii="宋体" w:hAnsi="宋体"/>
          <w:b/>
          <w:bCs/>
          <w:szCs w:val="21"/>
        </w:rPr>
        <w:t>．发热体温超过</w:t>
      </w:r>
      <w:r>
        <w:rPr>
          <w:rFonts w:ascii="宋体" w:hAnsi="宋体"/>
          <w:b/>
          <w:bCs/>
          <w:szCs w:val="21"/>
        </w:rPr>
        <w:t>38.5</w:t>
      </w:r>
      <w:r>
        <w:rPr>
          <w:rFonts w:hint="eastAsia" w:ascii="宋体" w:hAnsi="宋体"/>
          <w:b/>
          <w:bCs/>
          <w:szCs w:val="21"/>
        </w:rPr>
        <w:t>℃的患者，应去医院就诊。</w:t>
      </w:r>
    </w:p>
    <w:p w14:paraId="3D4EC3B3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11</w:t>
      </w:r>
      <w:r>
        <w:rPr>
          <w:rFonts w:hint="eastAsia" w:ascii="宋体" w:hAnsi="宋体"/>
          <w:b/>
          <w:bCs/>
          <w:szCs w:val="21"/>
        </w:rPr>
        <w:t>．服药</w:t>
      </w:r>
      <w:r>
        <w:rPr>
          <w:rFonts w:ascii="宋体" w:hAnsi="宋体"/>
          <w:b/>
          <w:bCs/>
          <w:szCs w:val="21"/>
        </w:rPr>
        <w:t>3天症状无缓解，或症状加重，或出现新的严重症状，应去医院就诊。</w:t>
      </w:r>
    </w:p>
    <w:p w14:paraId="144C6640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12</w:t>
      </w:r>
      <w:r>
        <w:rPr>
          <w:rFonts w:hint="eastAsia" w:ascii="宋体" w:hAnsi="宋体"/>
          <w:b/>
          <w:bCs/>
          <w:szCs w:val="21"/>
        </w:rPr>
        <w:t>．本品尚无孕妇、哺乳期妇女、儿童的有效性和安全性数据。</w:t>
      </w:r>
    </w:p>
    <w:p w14:paraId="640B2457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13</w:t>
      </w:r>
      <w:r>
        <w:rPr>
          <w:rFonts w:hint="eastAsia" w:ascii="宋体" w:hAnsi="宋体"/>
          <w:b/>
          <w:bCs/>
          <w:szCs w:val="21"/>
        </w:rPr>
        <w:t>．本品含麻黄，不宜与含麻黄的制剂或成药同时服用。</w:t>
      </w:r>
    </w:p>
    <w:p w14:paraId="16E2DA47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14</w:t>
      </w:r>
      <w:r>
        <w:rPr>
          <w:rFonts w:hint="eastAsia" w:ascii="宋体" w:hAnsi="宋体"/>
          <w:b/>
          <w:bCs/>
          <w:szCs w:val="21"/>
        </w:rPr>
        <w:t>．过敏体质者慎用。</w:t>
      </w:r>
    </w:p>
    <w:p w14:paraId="52144EC6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15</w:t>
      </w:r>
      <w:r>
        <w:rPr>
          <w:rFonts w:hint="eastAsia" w:ascii="宋体" w:hAnsi="宋体"/>
          <w:b/>
          <w:bCs/>
          <w:szCs w:val="21"/>
        </w:rPr>
        <w:t>．本品性状发生改变时禁止使用。</w:t>
      </w:r>
      <w:r>
        <w:rPr>
          <w:rFonts w:ascii="宋体" w:hAnsi="宋体"/>
          <w:b/>
          <w:bCs/>
          <w:szCs w:val="21"/>
        </w:rPr>
        <w:t xml:space="preserve"> </w:t>
      </w:r>
    </w:p>
    <w:p w14:paraId="6E811DCA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16</w:t>
      </w:r>
      <w:r>
        <w:rPr>
          <w:rFonts w:hint="eastAsia" w:ascii="宋体" w:hAnsi="宋体"/>
          <w:b/>
          <w:bCs/>
          <w:szCs w:val="21"/>
        </w:rPr>
        <w:t>．请将本品放在儿童不能接触的地方。</w:t>
      </w:r>
    </w:p>
    <w:p w14:paraId="61E50563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17</w:t>
      </w:r>
      <w:r>
        <w:rPr>
          <w:rFonts w:hint="eastAsia" w:ascii="宋体" w:hAnsi="宋体"/>
          <w:b/>
          <w:bCs/>
          <w:szCs w:val="21"/>
        </w:rPr>
        <w:t>．如正在使用其他药品，使用本品前请咨询医师或药师。</w:t>
      </w:r>
    </w:p>
    <w:p w14:paraId="28701072">
      <w:pPr>
        <w:spacing w:line="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</w:t>
      </w:r>
      <w:r>
        <w:rPr>
          <w:rFonts w:hint="eastAsia" w:ascii="宋体" w:hAnsi="宋体"/>
          <w:szCs w:val="21"/>
        </w:rPr>
        <w:t>药物相互作用]如与其他药物同时使用可能会发生药物相互作用，详情请咨询医师或药师。</w:t>
      </w:r>
    </w:p>
    <w:p w14:paraId="3A6F8AAD">
      <w:pPr>
        <w:rPr>
          <w:rFonts w:ascii="宋体" w:hAnsi="宋体"/>
        </w:rPr>
      </w:pPr>
      <w:r>
        <w:rPr>
          <w:rFonts w:ascii="宋体" w:hAnsi="宋体"/>
        </w:rPr>
        <w:t>[</w:t>
      </w:r>
      <w:r>
        <w:rPr>
          <w:rFonts w:hint="eastAsia" w:ascii="宋体" w:hAnsi="宋体"/>
        </w:rPr>
        <w:t>贮藏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包装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有效期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执行标准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批准文号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说明书修订日期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ascii="宋体" w:hAnsi="宋体"/>
        </w:rPr>
        <w:t>[</w:t>
      </w:r>
      <w:r>
        <w:rPr>
          <w:rFonts w:hint="eastAsia" w:ascii="宋体" w:hAnsi="宋体"/>
        </w:rPr>
        <w:t>药品上市许可持有人</w:t>
      </w:r>
      <w:r>
        <w:rPr>
          <w:rFonts w:ascii="宋体" w:hAnsi="宋体"/>
        </w:rPr>
        <w:t>]</w:t>
      </w:r>
    </w:p>
    <w:p w14:paraId="486C053E">
      <w:pPr>
        <w:rPr>
          <w:rFonts w:ascii="宋体" w:hAnsi="宋体"/>
        </w:rPr>
      </w:pPr>
      <w:r>
        <w:rPr>
          <w:rFonts w:hint="eastAsia" w:ascii="宋体" w:hAnsi="宋体"/>
        </w:rPr>
        <w:t>名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称：</w:t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注册地址：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邮政编码：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电话号码：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传真号码：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网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址：</w:t>
      </w:r>
    </w:p>
    <w:p w14:paraId="1561EE0B">
      <w:pPr>
        <w:rPr>
          <w:rFonts w:ascii="宋体" w:hAnsi="宋体"/>
          <w:b/>
          <w:bCs/>
        </w:rPr>
      </w:pPr>
      <w:r>
        <w:rPr>
          <w:rFonts w:ascii="宋体" w:hAnsi="宋体"/>
        </w:rPr>
        <w:t>[</w:t>
      </w:r>
      <w:r>
        <w:rPr>
          <w:rFonts w:hint="eastAsia" w:ascii="宋体" w:hAnsi="宋体"/>
        </w:rPr>
        <w:t>生产企业</w:t>
      </w:r>
      <w:r>
        <w:rPr>
          <w:rFonts w:ascii="宋体" w:hAnsi="宋体"/>
        </w:rPr>
        <w:t>]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企业名称：</w:t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</w:rPr>
        <w:t>生产地址：</w:t>
      </w:r>
      <w:r>
        <w:rPr>
          <w:rFonts w:ascii="宋体" w:hAnsi="宋体"/>
        </w:rPr>
        <w:br w:type="textWrapping"/>
      </w:r>
      <w:r>
        <w:rPr>
          <w:rFonts w:hint="eastAsia" w:ascii="宋体" w:hAnsi="宋体"/>
          <w:b/>
          <w:bCs/>
        </w:rPr>
        <w:t>如有问题可与药品上市许可持有人联系</w:t>
      </w:r>
    </w:p>
    <w:p w14:paraId="15168632">
      <w:pPr>
        <w:rPr>
          <w:rFonts w:ascii="宋体" w:hAnsi="宋体"/>
          <w:b/>
          <w:bCs/>
        </w:rPr>
      </w:pPr>
    </w:p>
    <w:p w14:paraId="2B60CFD8">
      <w:pPr>
        <w:rPr>
          <w:rFonts w:ascii="宋体" w:hAnsi="宋体"/>
          <w:b/>
          <w:bCs/>
        </w:rPr>
      </w:pPr>
    </w:p>
    <w:p w14:paraId="41CBE8B2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  <w:r>
        <w:rPr>
          <w:rFonts w:hint="eastAsia" w:ascii="Calibri" w:hAnsi="Calibri"/>
          <w:color w:val="000000"/>
          <w:szCs w:val="21"/>
        </w:rPr>
        <w:t>（注：本说明书范本原则上不得删减，如原批准说明书的安全性内容较本范本内容更全面或者更严格的，应当保留原批准内容。）</w:t>
      </w:r>
    </w:p>
    <w:p w14:paraId="5ABC7EA5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5B5F7569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CC0D5CF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8470E2E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146CF46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4C40FB8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8809362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00B5541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449A69D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09130D2C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7EDA4F30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9569BAE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7FA82B3A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6DF756E7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356155F4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5D4A4C52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3BA1CBC1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91165ED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CB4ECFE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6B2018D8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1ADA2E6A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678F02BD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30A42B59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0E81B2F3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7139C177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46CFD5B8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eastAsia" w:ascii="Calibri" w:hAnsi="Calibri"/>
          <w:color w:val="000000"/>
          <w:szCs w:val="21"/>
        </w:rPr>
      </w:pPr>
    </w:p>
    <w:p w14:paraId="7EBC579C">
      <w:pPr>
        <w:keepNext w:val="0"/>
        <w:keepLines w:val="0"/>
        <w:spacing w:before="0" w:after="0" w:line="240" w:lineRule="auto"/>
        <w:ind w:firstLine="420" w:firstLineChars="200"/>
        <w:jc w:val="left"/>
        <w:outlineLvl w:val="9"/>
        <w:rPr>
          <w:rFonts w:hint="default" w:ascii="Calibri" w:hAnsi="Calibri" w:cs="Times New Roman"/>
          <w:b w:val="0"/>
          <w:color w:val="000000"/>
          <w:sz w:val="21"/>
          <w:szCs w:val="21"/>
        </w:rPr>
      </w:pPr>
    </w:p>
    <w:p w14:paraId="0225C07C">
      <w:pPr>
        <w:keepNext/>
        <w:keepLines/>
        <w:spacing w:before="0" w:after="0" w:line="600" w:lineRule="exact"/>
        <w:jc w:val="center"/>
        <w:outlineLvl w:val="1"/>
        <w:rPr>
          <w:rFonts w:hint="default" w:ascii="宋体" w:hAnsi="宋体" w:eastAsia="宋体" w:cs="宋体"/>
          <w:b/>
          <w:sz w:val="30"/>
          <w:szCs w:val="20"/>
        </w:rPr>
      </w:pPr>
      <w:r>
        <w:rPr>
          <w:rFonts w:hint="default" w:ascii="宋体" w:hAnsi="宋体" w:eastAsia="宋体" w:cs="宋体"/>
          <w:b/>
          <w:sz w:val="30"/>
          <w:szCs w:val="20"/>
        </w:rPr>
        <w:t>六味祛风活络膏说明书</w:t>
      </w:r>
    </w:p>
    <w:p w14:paraId="67F18A75">
      <w:pPr>
        <w:spacing w:line="300" w:lineRule="exact"/>
        <w:jc w:val="center"/>
        <w:rPr>
          <w:b/>
        </w:rPr>
      </w:pPr>
      <w:r>
        <w:rPr>
          <w:rFonts w:hint="eastAsia"/>
          <w:b/>
        </w:rPr>
        <w:t>请仔细阅读说明书并按说明使用或在药师指导下购买和使用</w:t>
      </w:r>
    </w:p>
    <w:p w14:paraId="789EFEB9">
      <w:pPr>
        <w:spacing w:line="0" w:lineRule="atLeast"/>
        <w:rPr>
          <w:szCs w:val="21"/>
        </w:rPr>
      </w:pPr>
      <w:r>
        <w:rPr>
          <w:szCs w:val="21"/>
        </w:rPr>
        <w:t>[药品名称]</w:t>
      </w:r>
    </w:p>
    <w:p w14:paraId="18B8DAA7">
      <w:pPr>
        <w:spacing w:line="280" w:lineRule="exact"/>
        <w:rPr>
          <w:szCs w:val="21"/>
        </w:rPr>
      </w:pPr>
      <w:r>
        <w:rPr>
          <w:szCs w:val="21"/>
        </w:rPr>
        <w:t>通用名称：</w:t>
      </w:r>
      <w:r>
        <w:rPr>
          <w:rFonts w:hint="eastAsia"/>
          <w:szCs w:val="21"/>
        </w:rPr>
        <w:t>六味祛风活络膏</w:t>
      </w:r>
    </w:p>
    <w:p w14:paraId="6FD0FF7A">
      <w:pPr>
        <w:spacing w:line="280" w:lineRule="exact"/>
        <w:rPr>
          <w:szCs w:val="21"/>
        </w:rPr>
      </w:pPr>
      <w:r>
        <w:rPr>
          <w:szCs w:val="21"/>
        </w:rPr>
        <w:t>汉语拼音：</w:t>
      </w:r>
    </w:p>
    <w:p w14:paraId="52E34B04">
      <w:pPr>
        <w:spacing w:line="0" w:lineRule="atLeast"/>
        <w:rPr>
          <w:szCs w:val="21"/>
        </w:rPr>
      </w:pPr>
      <w:r>
        <w:rPr>
          <w:szCs w:val="21"/>
        </w:rPr>
        <w:t>[成份]</w:t>
      </w:r>
    </w:p>
    <w:p w14:paraId="28B625C6">
      <w:pPr>
        <w:spacing w:line="280" w:lineRule="exact"/>
        <w:rPr>
          <w:szCs w:val="21"/>
        </w:rPr>
      </w:pPr>
      <w:r>
        <w:rPr>
          <w:szCs w:val="21"/>
        </w:rPr>
        <w:t>[性状]</w:t>
      </w:r>
    </w:p>
    <w:p w14:paraId="7656DBFD">
      <w:pPr>
        <w:spacing w:line="280" w:lineRule="exact"/>
        <w:rPr>
          <w:szCs w:val="21"/>
        </w:rPr>
      </w:pPr>
      <w:r>
        <w:rPr>
          <w:szCs w:val="21"/>
        </w:rPr>
        <w:t>[功能主治]</w:t>
      </w:r>
      <w:r>
        <w:t xml:space="preserve"> </w:t>
      </w:r>
      <w:r>
        <w:rPr>
          <w:rFonts w:hint="eastAsia"/>
        </w:rPr>
        <w:t>活血化瘀、祛风除湿、消肿止痛。用于肩关节周围炎气滞血瘀证，症见肩部刺痛、活动受限</w:t>
      </w:r>
      <w:r>
        <w:rPr>
          <w:rFonts w:hint="eastAsia"/>
          <w:szCs w:val="21"/>
        </w:rPr>
        <w:t>。</w:t>
      </w:r>
    </w:p>
    <w:p w14:paraId="384B5E1E">
      <w:pPr>
        <w:spacing w:line="280" w:lineRule="exact"/>
      </w:pPr>
      <w:r>
        <w:rPr>
          <w:szCs w:val="21"/>
        </w:rPr>
        <w:t>[规格]</w:t>
      </w:r>
      <w:r>
        <w:rPr>
          <w:rFonts w:hint="eastAsia"/>
          <w:szCs w:val="21"/>
        </w:rPr>
        <w:t>7厘米×10厘米</w:t>
      </w:r>
    </w:p>
    <w:p w14:paraId="1423C074">
      <w:pPr>
        <w:spacing w:line="280" w:lineRule="exact"/>
      </w:pPr>
      <w:r>
        <w:rPr>
          <w:rFonts w:hint="eastAsia"/>
        </w:rPr>
        <w:t>[用法用量] 外贴患处，每次1贴，每日一次。疗程4周。</w:t>
      </w:r>
    </w:p>
    <w:p w14:paraId="022832F7">
      <w:pPr>
        <w:spacing w:line="280" w:lineRule="exact"/>
      </w:pPr>
      <w:r>
        <w:rPr>
          <w:rFonts w:hint="eastAsia"/>
        </w:rPr>
        <w:t>[不良反应] 监测数据显示，本品可见以下不良反应报告：用药部位瘙痒、皮疹、红斑、皮肤肿胀、过敏反应等。</w:t>
      </w:r>
    </w:p>
    <w:p w14:paraId="3F40C39E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[禁忌]</w:t>
      </w:r>
    </w:p>
    <w:p w14:paraId="450A760A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1.对本品及所含成份过敏者禁用。</w:t>
      </w:r>
    </w:p>
    <w:p w14:paraId="68DEB5C6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2.皮肤破溃、皮损或感染处禁用。</w:t>
      </w:r>
    </w:p>
    <w:p w14:paraId="688F208E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3.对橡胶膏过敏者禁用。</w:t>
      </w:r>
    </w:p>
    <w:p w14:paraId="3A1A03BA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[注意事项]</w:t>
      </w:r>
    </w:p>
    <w:p w14:paraId="26CF3124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1.本品为外用药，避免接触眼睛及黏膜（如口、鼻等）。</w:t>
      </w:r>
    </w:p>
    <w:p w14:paraId="7C686360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目前尚无妊娠或哺乳期妇女用药的临床试验资料，</w:t>
      </w:r>
      <w:r>
        <w:rPr>
          <w:b/>
          <w:bCs/>
          <w:szCs w:val="21"/>
        </w:rPr>
        <w:t>孕妇、哺乳期妇女、儿童及过敏体质者慎用，如需使用应咨询医师。</w:t>
      </w:r>
    </w:p>
    <w:p w14:paraId="105BF62A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.糖尿病严重者慎用，以防止使用不当引起皮肤损伤。</w:t>
      </w:r>
    </w:p>
    <w:p w14:paraId="1DA08527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</w:t>
      </w:r>
      <w:r>
        <w:rPr>
          <w:b/>
          <w:bCs/>
          <w:szCs w:val="21"/>
        </w:rPr>
        <w:t xml:space="preserve">.每次贴敷持续时间不应超过10 </w:t>
      </w:r>
      <w:r>
        <w:rPr>
          <w:rFonts w:hint="eastAsia"/>
          <w:b/>
          <w:bCs/>
          <w:szCs w:val="21"/>
        </w:rPr>
        <w:t>小时。</w:t>
      </w:r>
    </w:p>
    <w:p w14:paraId="565863C0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用药后局部皮肤如出现瘙痒、刺痛、皮疹时，应立即取下，停止使用，症状严重者应及时就医。如出现皮肤以外的全身不适，应立即停用，严重者应及时就医。</w:t>
      </w:r>
    </w:p>
    <w:p w14:paraId="17E6B53F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用药3天症状无缓解，应去医院就诊。</w:t>
      </w:r>
    </w:p>
    <w:p w14:paraId="64A96136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对多种药物过敏者慎用。</w:t>
      </w:r>
    </w:p>
    <w:p w14:paraId="0E1BABD7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8</w:t>
      </w:r>
      <w:r>
        <w:rPr>
          <w:rFonts w:hint="eastAsia"/>
          <w:b/>
          <w:bCs/>
          <w:szCs w:val="21"/>
        </w:rPr>
        <w:t>.本品性状发生改变时禁止使用。</w:t>
      </w:r>
    </w:p>
    <w:p w14:paraId="1DA3AE40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9</w:t>
      </w:r>
      <w:r>
        <w:rPr>
          <w:rFonts w:hint="eastAsia"/>
          <w:b/>
          <w:bCs/>
          <w:szCs w:val="21"/>
        </w:rPr>
        <w:t>.请将本品放在儿童不能接触的地方。</w:t>
      </w:r>
    </w:p>
    <w:p w14:paraId="6EE293D9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</w:t>
      </w:r>
      <w:r>
        <w:rPr>
          <w:b/>
          <w:bCs/>
          <w:szCs w:val="21"/>
        </w:rPr>
        <w:t>0</w:t>
      </w:r>
      <w:r>
        <w:rPr>
          <w:rFonts w:hint="eastAsia"/>
          <w:b/>
          <w:bCs/>
          <w:szCs w:val="21"/>
        </w:rPr>
        <w:t>.如正在使用其他药品，使用本品前请咨询医师或药师。</w:t>
      </w:r>
    </w:p>
    <w:p w14:paraId="2861067C">
      <w:r>
        <w:t xml:space="preserve">[贮藏] </w:t>
      </w:r>
      <w:r>
        <w:br w:type="textWrapping"/>
      </w:r>
      <w:r>
        <w:t>[包装]</w:t>
      </w:r>
      <w:r>
        <w:br w:type="textWrapping"/>
      </w:r>
      <w:r>
        <w:t>[有效期]</w:t>
      </w:r>
      <w:r>
        <w:br w:type="textWrapping"/>
      </w:r>
      <w:r>
        <w:t>[执行标准]</w:t>
      </w:r>
      <w:r>
        <w:br w:type="textWrapping"/>
      </w:r>
      <w:r>
        <w:t>[批准文号]</w:t>
      </w:r>
      <w:r>
        <w:br w:type="textWrapping"/>
      </w:r>
      <w:r>
        <w:t>[说明书修订日期]</w:t>
      </w:r>
      <w:r>
        <w:br w:type="textWrapping"/>
      </w:r>
      <w:r>
        <w:t>[药品上市许可持有人]</w:t>
      </w:r>
    </w:p>
    <w:p w14:paraId="09A10315">
      <w:r>
        <w:t xml:space="preserve">名    称： </w:t>
      </w:r>
      <w:r>
        <w:br w:type="textWrapping"/>
      </w:r>
      <w:r>
        <w:t>注册地址：</w:t>
      </w:r>
      <w:r>
        <w:br w:type="textWrapping"/>
      </w:r>
      <w:r>
        <w:t>邮政编码：</w:t>
      </w:r>
      <w:r>
        <w:br w:type="textWrapping"/>
      </w:r>
      <w:r>
        <w:t>电话号码：</w:t>
      </w:r>
      <w:r>
        <w:br w:type="textWrapping"/>
      </w:r>
      <w:r>
        <w:t>传真号码：</w:t>
      </w:r>
      <w:r>
        <w:br w:type="textWrapping"/>
      </w:r>
      <w:r>
        <w:t>网    址：</w:t>
      </w:r>
    </w:p>
    <w:p w14:paraId="127B7960">
      <w:pPr>
        <w:rPr>
          <w:b/>
          <w:bCs/>
        </w:rPr>
      </w:pPr>
      <w:r>
        <w:t>[生产企业]</w:t>
      </w:r>
      <w:r>
        <w:br w:type="textWrapping"/>
      </w:r>
      <w:r>
        <w:t xml:space="preserve">企业名称： </w:t>
      </w:r>
      <w:r>
        <w:br w:type="textWrapping"/>
      </w:r>
      <w:r>
        <w:t>生产地址：</w:t>
      </w:r>
      <w:r>
        <w:br w:type="textWrapping"/>
      </w:r>
      <w:r>
        <w:rPr>
          <w:b/>
          <w:bCs/>
        </w:rPr>
        <w:t>如有问题可与药品上市许可持有人联系</w:t>
      </w:r>
      <w:r>
        <w:rPr>
          <w:rFonts w:hint="eastAsia"/>
          <w:b/>
          <w:bCs/>
        </w:rPr>
        <w:t>。</w:t>
      </w:r>
    </w:p>
    <w:p w14:paraId="723CBA1F">
      <w:pPr>
        <w:rPr>
          <w:b/>
          <w:bCs/>
        </w:rPr>
      </w:pPr>
    </w:p>
    <w:p w14:paraId="76BF5D9F">
      <w:pPr>
        <w:ind w:firstLine="210" w:firstLineChars="100"/>
        <w:rPr>
          <w:rFonts w:hint="eastAsia" w:ascii="仿宋_GB2312" w:hAnsi="华文仿宋"/>
          <w:sz w:val="32"/>
          <w:szCs w:val="32"/>
        </w:rPr>
      </w:pPr>
      <w:r>
        <w:rPr>
          <w:rFonts w:hint="eastAsia"/>
        </w:rPr>
        <w:t>（注：本说明书范本原则上不得删减，如原批准说明书的安全性内容较本范本内容更全面或者更严格的，应当保留原批准内容。）</w:t>
      </w:r>
    </w:p>
    <w:p w14:paraId="2B3A3E0C"/>
    <w:p w14:paraId="48BD8547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4A608A51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11A12414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3F8F1AE6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6094CA89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79E9AF61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6714B79D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718E54C2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7DF200E9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3BA08D1A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54C6262B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</w:p>
    <w:p w14:paraId="35DE3758">
      <w:pPr>
        <w:rPr>
          <w:rFonts w:hint="eastAsia" w:ascii="仿宋_GB2312" w:hAnsi="华文仿宋" w:eastAsia="仿宋_GB2312"/>
          <w:sz w:val="32"/>
          <w:szCs w:val="32"/>
        </w:rPr>
      </w:pPr>
    </w:p>
    <w:p w14:paraId="33A57071">
      <w:pPr>
        <w:keepNext/>
        <w:keepLines/>
        <w:spacing w:before="260" w:after="260" w:line="408" w:lineRule="auto"/>
        <w:jc w:val="center"/>
        <w:outlineLvl w:val="1"/>
        <w:rPr>
          <w:rFonts w:hint="eastAsia" w:ascii="宋体" w:hAnsi="宋体" w:cs="宋体"/>
          <w:b/>
          <w:sz w:val="30"/>
          <w:szCs w:val="20"/>
        </w:rPr>
      </w:pPr>
      <w:r>
        <w:rPr>
          <w:rFonts w:hint="eastAsia" w:ascii="宋体" w:hAnsi="宋体" w:cs="宋体"/>
          <w:b/>
          <w:sz w:val="30"/>
          <w:szCs w:val="20"/>
        </w:rPr>
        <w:t>芩暴红止咳胶囊说明书</w:t>
      </w:r>
    </w:p>
    <w:p w14:paraId="1A86893B">
      <w:pPr>
        <w:spacing w:line="300" w:lineRule="exact"/>
        <w:jc w:val="center"/>
        <w:rPr>
          <w:b/>
          <w:szCs w:val="22"/>
        </w:rPr>
      </w:pPr>
      <w:r>
        <w:rPr>
          <w:b/>
          <w:szCs w:val="22"/>
        </w:rPr>
        <w:t>请仔细阅读说明书并按说明使用或在药师指导下购买和使用</w:t>
      </w:r>
    </w:p>
    <w:p w14:paraId="06264FC1">
      <w:pPr>
        <w:spacing w:line="300" w:lineRule="exact"/>
        <w:jc w:val="center"/>
        <w:rPr>
          <w:b/>
          <w:bCs/>
          <w:szCs w:val="21"/>
        </w:rPr>
      </w:pPr>
      <w:r>
        <w:rPr>
          <w:b/>
          <w:bCs/>
          <w:szCs w:val="21"/>
        </w:rPr>
        <w:t>严格按照用法用量服用，不长期服用</w:t>
      </w:r>
    </w:p>
    <w:p w14:paraId="24485096">
      <w:pPr>
        <w:spacing w:line="300" w:lineRule="exact"/>
        <w:jc w:val="center"/>
        <w:rPr>
          <w:b/>
          <w:bCs/>
          <w:szCs w:val="21"/>
        </w:rPr>
      </w:pPr>
    </w:p>
    <w:p w14:paraId="154F0314">
      <w:pPr>
        <w:spacing w:line="0" w:lineRule="atLeast"/>
        <w:rPr>
          <w:szCs w:val="21"/>
        </w:rPr>
      </w:pPr>
      <w:r>
        <w:rPr>
          <w:szCs w:val="21"/>
        </w:rPr>
        <w:t>[药品名称]</w:t>
      </w:r>
    </w:p>
    <w:p w14:paraId="557DB45A">
      <w:pPr>
        <w:spacing w:line="280" w:lineRule="exact"/>
        <w:rPr>
          <w:szCs w:val="21"/>
        </w:rPr>
      </w:pPr>
      <w:r>
        <w:rPr>
          <w:szCs w:val="21"/>
        </w:rPr>
        <w:t>通用名称：芩暴红止咳</w:t>
      </w:r>
      <w:r>
        <w:rPr>
          <w:rFonts w:hint="eastAsia"/>
          <w:szCs w:val="21"/>
        </w:rPr>
        <w:t>胶囊</w:t>
      </w:r>
    </w:p>
    <w:p w14:paraId="2CC3B995">
      <w:pPr>
        <w:spacing w:line="280" w:lineRule="exact"/>
        <w:rPr>
          <w:szCs w:val="21"/>
        </w:rPr>
      </w:pPr>
      <w:r>
        <w:rPr>
          <w:szCs w:val="21"/>
        </w:rPr>
        <w:t>汉语拼音：</w:t>
      </w:r>
    </w:p>
    <w:p w14:paraId="667C7F48">
      <w:pPr>
        <w:spacing w:line="0" w:lineRule="atLeast"/>
        <w:rPr>
          <w:szCs w:val="21"/>
        </w:rPr>
      </w:pPr>
      <w:r>
        <w:rPr>
          <w:szCs w:val="21"/>
        </w:rPr>
        <w:t>[成份]</w:t>
      </w:r>
    </w:p>
    <w:p w14:paraId="305EEF08">
      <w:pPr>
        <w:spacing w:line="280" w:lineRule="exact"/>
        <w:rPr>
          <w:szCs w:val="21"/>
        </w:rPr>
      </w:pPr>
      <w:r>
        <w:rPr>
          <w:szCs w:val="21"/>
        </w:rPr>
        <w:t>[性状]</w:t>
      </w:r>
    </w:p>
    <w:p w14:paraId="71355803">
      <w:pPr>
        <w:spacing w:line="280" w:lineRule="exact"/>
        <w:rPr>
          <w:szCs w:val="21"/>
        </w:rPr>
      </w:pPr>
      <w:r>
        <w:rPr>
          <w:szCs w:val="21"/>
        </w:rPr>
        <w:t>[功能主治]</w:t>
      </w:r>
      <w:r>
        <w:t xml:space="preserve"> </w:t>
      </w:r>
      <w:r>
        <w:rPr>
          <w:szCs w:val="21"/>
        </w:rPr>
        <w:t>清热化痰，止咳平喘。用于急性支气管炎及慢性支气管炎急性发作。</w:t>
      </w:r>
    </w:p>
    <w:p w14:paraId="62E85ACB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每粒装0.5克</w:t>
      </w:r>
    </w:p>
    <w:p w14:paraId="76197F9A">
      <w:pPr>
        <w:spacing w:line="280" w:lineRule="exact"/>
        <w:rPr>
          <w:szCs w:val="21"/>
        </w:rPr>
      </w:pPr>
      <w:r>
        <w:rPr>
          <w:szCs w:val="21"/>
        </w:rPr>
        <w:t>[用法用量]</w:t>
      </w:r>
      <w:r>
        <w:t xml:space="preserve"> </w:t>
      </w:r>
      <w:r>
        <w:rPr>
          <w:rFonts w:hint="eastAsia"/>
        </w:rPr>
        <w:t>口服。一次2粒，一日3次。</w:t>
      </w:r>
    </w:p>
    <w:p w14:paraId="44B1F521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[不良反应] 监测数据显示，芩暴红止咳制剂可见以下不良反应报告：腹泻、恶心、呕吐、腹部不适、腹痛、口干、瘙痒、红斑、皮疹、头晕、头痛、心悸、失眠、局部麻木感、过敏反应等。</w:t>
      </w:r>
    </w:p>
    <w:p w14:paraId="4F55A0A9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[禁忌]</w:t>
      </w:r>
      <w:r>
        <w:t xml:space="preserve"> </w:t>
      </w:r>
      <w:r>
        <w:rPr>
          <w:b/>
          <w:bCs/>
          <w:szCs w:val="21"/>
        </w:rPr>
        <w:t>对本品及所含成份过敏者禁用。</w:t>
      </w:r>
    </w:p>
    <w:p w14:paraId="2C4D5417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[注意事项]</w:t>
      </w:r>
    </w:p>
    <w:p w14:paraId="41BD64AA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</w:t>
      </w:r>
      <w:r>
        <w:rPr>
          <w:b/>
          <w:bCs/>
          <w:szCs w:val="21"/>
        </w:rPr>
        <w:t>.忌食辛辣刺激类食物。</w:t>
      </w:r>
    </w:p>
    <w:p w14:paraId="0587ED78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.支气管扩张、肺脓疡、肺心病、肺结核患者出现咳嗽时应</w:t>
      </w:r>
      <w:r>
        <w:rPr>
          <w:rFonts w:hint="eastAsia"/>
          <w:b/>
          <w:bCs/>
          <w:szCs w:val="21"/>
        </w:rPr>
        <w:t>当</w:t>
      </w:r>
      <w:r>
        <w:rPr>
          <w:b/>
          <w:bCs/>
          <w:szCs w:val="21"/>
        </w:rPr>
        <w:t>去医院就诊。</w:t>
      </w:r>
    </w:p>
    <w:p w14:paraId="56DBD68C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.扁桃体有化脓或</w:t>
      </w:r>
      <w:r>
        <w:rPr>
          <w:rFonts w:hint="eastAsia"/>
          <w:b/>
          <w:bCs/>
          <w:szCs w:val="21"/>
        </w:rPr>
        <w:t>者</w:t>
      </w:r>
      <w:r>
        <w:rPr>
          <w:b/>
          <w:bCs/>
          <w:szCs w:val="21"/>
        </w:rPr>
        <w:t>发热体温超过38.5℃的患者应</w:t>
      </w:r>
      <w:r>
        <w:rPr>
          <w:rFonts w:hint="eastAsia"/>
          <w:b/>
          <w:bCs/>
          <w:szCs w:val="21"/>
        </w:rPr>
        <w:t>当</w:t>
      </w:r>
      <w:r>
        <w:rPr>
          <w:b/>
          <w:bCs/>
          <w:szCs w:val="21"/>
        </w:rPr>
        <w:t>去医院就诊。</w:t>
      </w:r>
    </w:p>
    <w:p w14:paraId="7383FAF7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</w:t>
      </w:r>
      <w:r>
        <w:rPr>
          <w:b/>
          <w:bCs/>
          <w:szCs w:val="21"/>
        </w:rPr>
        <w:t>.严格按照用法用量服用，不长期服用。</w:t>
      </w:r>
    </w:p>
    <w:p w14:paraId="382EEC00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</w:t>
      </w:r>
      <w:r>
        <w:rPr>
          <w:b/>
          <w:bCs/>
          <w:szCs w:val="21"/>
        </w:rPr>
        <w:t>.高血压、心脏病、肝病、糖尿病、肾病等患者应</w:t>
      </w:r>
      <w:r>
        <w:rPr>
          <w:rFonts w:hint="eastAsia"/>
          <w:b/>
          <w:bCs/>
          <w:szCs w:val="21"/>
        </w:rPr>
        <w:t>当</w:t>
      </w:r>
      <w:r>
        <w:rPr>
          <w:b/>
          <w:bCs/>
          <w:szCs w:val="21"/>
        </w:rPr>
        <w:t>在医师指导下服用。</w:t>
      </w:r>
    </w:p>
    <w:p w14:paraId="333F8767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</w:t>
      </w:r>
      <w:r>
        <w:rPr>
          <w:b/>
          <w:bCs/>
          <w:szCs w:val="21"/>
        </w:rPr>
        <w:t>.症见稀白痰证属痰饮者不宜服用，慢性虚咳患者不宜服用。</w:t>
      </w:r>
    </w:p>
    <w:p w14:paraId="660DCE0A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</w:t>
      </w:r>
      <w:r>
        <w:rPr>
          <w:b/>
          <w:bCs/>
          <w:szCs w:val="21"/>
        </w:rPr>
        <w:t>.</w:t>
      </w:r>
      <w:r>
        <w:rPr>
          <w:rFonts w:hint="eastAsia"/>
          <w:b/>
          <w:szCs w:val="21"/>
        </w:rPr>
        <w:t>孕妇、</w:t>
      </w:r>
      <w:r>
        <w:rPr>
          <w:b/>
          <w:szCs w:val="21"/>
        </w:rPr>
        <w:t>老年人慎用，</w:t>
      </w:r>
      <w:r>
        <w:rPr>
          <w:rFonts w:hint="eastAsia"/>
          <w:b/>
          <w:szCs w:val="21"/>
        </w:rPr>
        <w:t>如确需使用</w:t>
      </w:r>
      <w:r>
        <w:rPr>
          <w:b/>
          <w:szCs w:val="21"/>
        </w:rPr>
        <w:t>应在</w:t>
      </w:r>
      <w:r>
        <w:rPr>
          <w:rFonts w:hint="eastAsia"/>
          <w:b/>
          <w:szCs w:val="21"/>
        </w:rPr>
        <w:t>医师</w:t>
      </w:r>
      <w:r>
        <w:rPr>
          <w:b/>
          <w:szCs w:val="21"/>
        </w:rPr>
        <w:t>指导下</w:t>
      </w:r>
      <w:r>
        <w:rPr>
          <w:rFonts w:hint="eastAsia"/>
          <w:b/>
          <w:szCs w:val="21"/>
        </w:rPr>
        <w:t>使</w:t>
      </w:r>
      <w:r>
        <w:rPr>
          <w:b/>
          <w:szCs w:val="21"/>
        </w:rPr>
        <w:t>用。</w:t>
      </w:r>
    </w:p>
    <w:p w14:paraId="66F717AF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</w:t>
      </w:r>
      <w:r>
        <w:rPr>
          <w:b/>
          <w:bCs/>
          <w:szCs w:val="21"/>
        </w:rPr>
        <w:t>.过敏体质者慎用，脾胃虚寒者慎用。</w:t>
      </w:r>
    </w:p>
    <w:p w14:paraId="086A872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</w:t>
      </w:r>
      <w:r>
        <w:rPr>
          <w:b/>
          <w:bCs/>
          <w:szCs w:val="21"/>
        </w:rPr>
        <w:t>.服药3天症状无缓解，或</w:t>
      </w:r>
      <w:r>
        <w:rPr>
          <w:rFonts w:hint="eastAsia"/>
          <w:b/>
          <w:bCs/>
          <w:szCs w:val="21"/>
        </w:rPr>
        <w:t>者</w:t>
      </w:r>
      <w:r>
        <w:rPr>
          <w:b/>
          <w:bCs/>
          <w:szCs w:val="21"/>
        </w:rPr>
        <w:t>症状加重，或</w:t>
      </w:r>
      <w:r>
        <w:rPr>
          <w:rFonts w:hint="eastAsia"/>
          <w:b/>
          <w:bCs/>
          <w:szCs w:val="21"/>
        </w:rPr>
        <w:t>者</w:t>
      </w:r>
      <w:r>
        <w:rPr>
          <w:b/>
          <w:bCs/>
          <w:szCs w:val="21"/>
        </w:rPr>
        <w:t>出现心悸等新的症状，应</w:t>
      </w:r>
      <w:r>
        <w:rPr>
          <w:rFonts w:hint="eastAsia"/>
          <w:b/>
          <w:bCs/>
          <w:szCs w:val="21"/>
        </w:rPr>
        <w:t>当</w:t>
      </w:r>
      <w:r>
        <w:rPr>
          <w:b/>
          <w:bCs/>
          <w:szCs w:val="21"/>
        </w:rPr>
        <w:t>去医院就诊。</w:t>
      </w:r>
    </w:p>
    <w:p w14:paraId="30F0E95C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0</w:t>
      </w:r>
      <w:r>
        <w:rPr>
          <w:b/>
          <w:bCs/>
          <w:szCs w:val="21"/>
        </w:rPr>
        <w:t>.</w:t>
      </w:r>
      <w:r>
        <w:rPr>
          <w:rFonts w:hint="eastAsia" w:ascii="宋体" w:hAnsi="宋体"/>
          <w:b/>
          <w:bCs/>
          <w:szCs w:val="21"/>
        </w:rPr>
        <w:t xml:space="preserve"> 本品性状发生改变时禁止使用。</w:t>
      </w:r>
    </w:p>
    <w:p w14:paraId="199DFDA2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11.请将本品放在儿童不能接触的地方。</w:t>
      </w:r>
    </w:p>
    <w:p w14:paraId="515309DC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12.如正在使用其他药品，使用本品前请咨询医师或</w:t>
      </w:r>
      <w:r>
        <w:rPr>
          <w:rFonts w:hint="eastAsia"/>
          <w:b/>
          <w:bCs/>
          <w:szCs w:val="21"/>
        </w:rPr>
        <w:t>者</w:t>
      </w:r>
      <w:r>
        <w:rPr>
          <w:b/>
          <w:bCs/>
          <w:szCs w:val="21"/>
        </w:rPr>
        <w:t>药师。</w:t>
      </w:r>
    </w:p>
    <w:p w14:paraId="16BEF98D">
      <w:pPr>
        <w:spacing w:line="0" w:lineRule="atLeast"/>
        <w:rPr>
          <w:szCs w:val="21"/>
        </w:rPr>
      </w:pPr>
      <w:r>
        <w:rPr>
          <w:szCs w:val="21"/>
        </w:rPr>
        <w:t>[药物相互作用]如与其他药物同时使用可能会发生药物相互作用，详情请咨询医师或</w:t>
      </w:r>
      <w:r>
        <w:rPr>
          <w:rFonts w:hint="eastAsia"/>
          <w:szCs w:val="21"/>
        </w:rPr>
        <w:t>者</w:t>
      </w:r>
      <w:r>
        <w:rPr>
          <w:szCs w:val="21"/>
        </w:rPr>
        <w:t>药师。</w:t>
      </w:r>
    </w:p>
    <w:p w14:paraId="6532F67C">
      <w:r>
        <w:t xml:space="preserve">[贮藏] </w:t>
      </w:r>
      <w:r>
        <w:br w:type="textWrapping"/>
      </w:r>
      <w:r>
        <w:t>[包装]</w:t>
      </w:r>
      <w:r>
        <w:br w:type="textWrapping"/>
      </w:r>
      <w:r>
        <w:t>[有效期]</w:t>
      </w:r>
      <w:r>
        <w:br w:type="textWrapping"/>
      </w:r>
      <w:r>
        <w:t>[执行标准]</w:t>
      </w:r>
      <w:r>
        <w:br w:type="textWrapping"/>
      </w:r>
      <w:r>
        <w:t>[批准文号]</w:t>
      </w:r>
      <w:r>
        <w:br w:type="textWrapping"/>
      </w:r>
      <w:r>
        <w:t>[说明书修订日期]</w:t>
      </w:r>
      <w:r>
        <w:br w:type="textWrapping"/>
      </w:r>
      <w:r>
        <w:t>[药品上市许可持有人]</w:t>
      </w:r>
    </w:p>
    <w:p w14:paraId="053D9791">
      <w:r>
        <w:t xml:space="preserve">名    称： </w:t>
      </w:r>
      <w:r>
        <w:br w:type="textWrapping"/>
      </w:r>
      <w:r>
        <w:t>注册地址：</w:t>
      </w:r>
      <w:r>
        <w:br w:type="textWrapping"/>
      </w:r>
      <w:r>
        <w:t>邮政编码：</w:t>
      </w:r>
      <w:r>
        <w:br w:type="textWrapping"/>
      </w:r>
      <w:r>
        <w:t>电话号码：</w:t>
      </w:r>
      <w:r>
        <w:br w:type="textWrapping"/>
      </w:r>
      <w:r>
        <w:t>传真号码：</w:t>
      </w:r>
      <w:r>
        <w:br w:type="textWrapping"/>
      </w:r>
      <w:r>
        <w:t>网    址：</w:t>
      </w:r>
    </w:p>
    <w:p w14:paraId="5418986C">
      <w:r>
        <w:t>[生产企业]</w:t>
      </w:r>
      <w:r>
        <w:br w:type="textWrapping"/>
      </w:r>
      <w:r>
        <w:t xml:space="preserve">企业名称： </w:t>
      </w:r>
      <w:r>
        <w:br w:type="textWrapping"/>
      </w:r>
      <w:r>
        <w:t>生产地址：</w:t>
      </w:r>
      <w:r>
        <w:br w:type="textWrapping"/>
      </w:r>
      <w:r>
        <w:rPr>
          <w:b/>
          <w:bCs/>
        </w:rPr>
        <w:t>如有问题可与药品上市许可持有人联系</w:t>
      </w:r>
      <w:r>
        <w:rPr>
          <w:rFonts w:hint="eastAsia"/>
          <w:b/>
          <w:bCs/>
        </w:rPr>
        <w:t>。</w:t>
      </w:r>
    </w:p>
    <w:p w14:paraId="691DD521">
      <w:pPr>
        <w:rPr>
          <w:szCs w:val="21"/>
        </w:rPr>
      </w:pPr>
    </w:p>
    <w:p w14:paraId="1D5FAA1B">
      <w:r>
        <w:rPr>
          <w:rFonts w:hint="eastAsia"/>
          <w:szCs w:val="21"/>
        </w:rPr>
        <w:t>（注：本说明书范本原则上不得删减，如原批准说明书的安全性内容较本范本内容更全面或更严格的，应保留原批准内容。</w:t>
      </w:r>
    </w:p>
    <w:p w14:paraId="4019384E"/>
    <w:p w14:paraId="45D4908A"/>
    <w:p w14:paraId="58EB90A8">
      <w:pPr>
        <w:rPr>
          <w:rFonts w:hint="default" w:ascii="Times New Roman" w:hAnsi="Times New Roman" w:cs="Times New Roman"/>
        </w:rPr>
      </w:pPr>
    </w:p>
    <w:p w14:paraId="7E563213">
      <w:pPr>
        <w:rPr>
          <w:rFonts w:hint="default" w:ascii="Times New Roman" w:hAnsi="Times New Roman" w:cs="Times New Roman"/>
        </w:rPr>
      </w:pPr>
    </w:p>
    <w:p w14:paraId="121FBBC2">
      <w:pPr>
        <w:rPr>
          <w:rFonts w:hint="eastAsia" w:ascii="仿宋_GB2312" w:hAnsi="华文仿宋" w:eastAsia="仿宋_GB2312"/>
          <w:sz w:val="32"/>
          <w:szCs w:val="32"/>
        </w:rPr>
      </w:pPr>
    </w:p>
    <w:p w14:paraId="46F4DD38">
      <w:pPr>
        <w:rPr>
          <w:rFonts w:hint="eastAsia" w:ascii="仿宋_GB2312" w:hAnsi="华文仿宋" w:eastAsia="仿宋_GB2312"/>
          <w:sz w:val="32"/>
          <w:szCs w:val="32"/>
        </w:rPr>
      </w:pPr>
    </w:p>
    <w:p w14:paraId="4CF9C8D4">
      <w:pPr>
        <w:rPr>
          <w:rFonts w:hint="eastAsia" w:ascii="仿宋_GB2312" w:hAnsi="华文仿宋" w:eastAsia="仿宋_GB2312"/>
          <w:sz w:val="32"/>
          <w:szCs w:val="32"/>
        </w:rPr>
      </w:pPr>
    </w:p>
    <w:p w14:paraId="4AF96133">
      <w:pPr>
        <w:rPr>
          <w:rFonts w:hint="eastAsia" w:ascii="仿宋_GB2312" w:hAnsi="华文仿宋" w:eastAsia="仿宋_GB2312"/>
          <w:sz w:val="32"/>
          <w:szCs w:val="32"/>
        </w:rPr>
      </w:pPr>
    </w:p>
    <w:p w14:paraId="2951E4F3">
      <w:pPr>
        <w:rPr>
          <w:rFonts w:hint="eastAsia" w:ascii="仿宋_GB2312" w:hAnsi="华文仿宋" w:eastAsia="仿宋_GB2312"/>
          <w:sz w:val="32"/>
          <w:szCs w:val="32"/>
        </w:rPr>
      </w:pPr>
    </w:p>
    <w:p w14:paraId="005F8F58">
      <w:pPr>
        <w:rPr>
          <w:rFonts w:hint="eastAsia" w:ascii="仿宋_GB2312" w:hAnsi="华文仿宋" w:eastAsia="仿宋_GB2312"/>
          <w:sz w:val="32"/>
          <w:szCs w:val="32"/>
        </w:rPr>
      </w:pPr>
    </w:p>
    <w:p w14:paraId="6DDB0F98">
      <w:pPr>
        <w:rPr>
          <w:rFonts w:hint="eastAsia" w:ascii="仿宋_GB2312" w:hAnsi="华文仿宋" w:eastAsia="仿宋_GB2312"/>
          <w:sz w:val="32"/>
          <w:szCs w:val="32"/>
        </w:rPr>
      </w:pPr>
    </w:p>
    <w:p w14:paraId="5C31B43C">
      <w:pPr>
        <w:rPr>
          <w:rFonts w:hint="eastAsia" w:ascii="仿宋_GB2312" w:hAnsi="华文仿宋" w:eastAsia="仿宋_GB2312"/>
          <w:sz w:val="32"/>
          <w:szCs w:val="32"/>
        </w:rPr>
      </w:pPr>
    </w:p>
    <w:p w14:paraId="45DD5524">
      <w:pPr>
        <w:rPr>
          <w:rFonts w:hint="eastAsia" w:ascii="仿宋_GB2312" w:hAnsi="华文仿宋" w:eastAsia="仿宋_GB2312"/>
          <w:sz w:val="32"/>
          <w:szCs w:val="32"/>
        </w:rPr>
      </w:pPr>
    </w:p>
    <w:p w14:paraId="480BF42A">
      <w:pPr>
        <w:rPr>
          <w:rFonts w:hint="eastAsia" w:ascii="仿宋_GB2312" w:hAnsi="华文仿宋" w:eastAsia="仿宋_GB2312"/>
          <w:sz w:val="32"/>
          <w:szCs w:val="32"/>
        </w:rPr>
      </w:pPr>
    </w:p>
    <w:p w14:paraId="75BA9F14">
      <w:pPr>
        <w:rPr>
          <w:rFonts w:hint="eastAsia" w:ascii="仿宋_GB2312" w:hAnsi="华文仿宋" w:eastAsia="仿宋_GB2312"/>
          <w:sz w:val="32"/>
          <w:szCs w:val="32"/>
        </w:rPr>
      </w:pPr>
    </w:p>
    <w:p w14:paraId="34C29036">
      <w:pPr>
        <w:rPr>
          <w:rFonts w:hint="eastAsia" w:ascii="仿宋_GB2312" w:hAnsi="华文仿宋" w:eastAsia="仿宋_GB2312"/>
          <w:sz w:val="32"/>
          <w:szCs w:val="32"/>
        </w:rPr>
      </w:pPr>
    </w:p>
    <w:p w14:paraId="22AC7C80">
      <w:pPr>
        <w:rPr>
          <w:rFonts w:hint="eastAsia" w:ascii="仿宋_GB2312" w:hAnsi="华文仿宋" w:eastAsia="仿宋_GB2312"/>
          <w:sz w:val="32"/>
          <w:szCs w:val="32"/>
        </w:rPr>
      </w:pPr>
    </w:p>
    <w:p w14:paraId="3087AA95">
      <w:pPr>
        <w:rPr>
          <w:rFonts w:hint="eastAsia" w:ascii="仿宋_GB2312" w:hAnsi="华文仿宋" w:eastAsia="仿宋_GB2312"/>
          <w:sz w:val="32"/>
          <w:szCs w:val="32"/>
        </w:rPr>
      </w:pPr>
    </w:p>
    <w:p w14:paraId="62668AB3">
      <w:pPr>
        <w:rPr>
          <w:rFonts w:hint="eastAsia" w:ascii="仿宋_GB2312" w:hAnsi="华文仿宋" w:eastAsia="仿宋_GB2312"/>
          <w:sz w:val="32"/>
          <w:szCs w:val="32"/>
        </w:rPr>
      </w:pPr>
    </w:p>
    <w:p w14:paraId="3079AB21">
      <w:pPr>
        <w:rPr>
          <w:rFonts w:hint="eastAsia" w:ascii="仿宋_GB2312" w:hAnsi="华文仿宋" w:eastAsia="仿宋_GB2312"/>
          <w:sz w:val="32"/>
          <w:szCs w:val="32"/>
        </w:rPr>
      </w:pPr>
    </w:p>
    <w:p w14:paraId="65CE9568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/>
          <w:b/>
          <w:sz w:val="30"/>
          <w:szCs w:val="20"/>
        </w:rPr>
        <w:t>草香胃康胶囊说明书</w:t>
      </w:r>
    </w:p>
    <w:p w14:paraId="5B731278">
      <w:pPr>
        <w:widowControl/>
        <w:jc w:val="center"/>
        <w:rPr>
          <w:color w:val="000000"/>
        </w:rPr>
      </w:pPr>
      <w:r>
        <w:rPr>
          <w:b/>
          <w:bCs/>
          <w:color w:val="000000"/>
          <w:kern w:val="0"/>
          <w:lang w:bidi="ar"/>
        </w:rPr>
        <w:t>请仔细阅读说明书并按说明使用或在药师指导下购买和使用</w:t>
      </w:r>
    </w:p>
    <w:p w14:paraId="32A6CDAB">
      <w:pPr>
        <w:widowControl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[药品名称]</w:t>
      </w:r>
    </w:p>
    <w:p w14:paraId="7B98E837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通用名称：</w:t>
      </w:r>
      <w:r>
        <w:rPr>
          <w:rFonts w:hint="eastAsia" w:ascii="宋体" w:hAnsi="宋体"/>
          <w:szCs w:val="21"/>
        </w:rPr>
        <w:t>草香胃康胶囊</w:t>
      </w:r>
    </w:p>
    <w:p w14:paraId="4A25A54A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汉语拼音：</w:t>
      </w:r>
    </w:p>
    <w:p w14:paraId="0E35224E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[成份]</w:t>
      </w:r>
    </w:p>
    <w:p w14:paraId="486ED599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[性状]</w:t>
      </w:r>
    </w:p>
    <w:p w14:paraId="1A6CEDAF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[功能主治]</w:t>
      </w:r>
      <w:r>
        <w:rPr>
          <w:rFonts w:hint="eastAsia" w:ascii="宋体" w:hAnsi="宋体"/>
          <w:szCs w:val="21"/>
        </w:rPr>
        <w:t>泄肝和胃，行气止痛。用于肝气犯胃所致的胃痛，症见胃脘疼痛、饥后尤甚、泛吐酸水、食欲不佳、心烦易怒；慢性胃炎见上述证候者。</w:t>
      </w:r>
    </w:p>
    <w:p w14:paraId="32EC706B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[规格]</w:t>
      </w:r>
      <w:r>
        <w:rPr>
          <w:rFonts w:hint="eastAsia" w:ascii="宋体" w:hAnsi="宋体"/>
          <w:szCs w:val="21"/>
        </w:rPr>
        <w:t>每粒装0.5克</w:t>
      </w:r>
    </w:p>
    <w:p w14:paraId="677F2ECD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[用法用量]</w:t>
      </w:r>
      <w:r>
        <w:rPr>
          <w:rFonts w:hint="eastAsia"/>
          <w:color w:val="000000"/>
        </w:rPr>
        <w:t>口服。一次2</w:t>
      </w:r>
      <w:r>
        <w:rPr>
          <w:color w:val="000000"/>
        </w:rPr>
        <w:t>~</w:t>
      </w:r>
      <w:r>
        <w:rPr>
          <w:rFonts w:hint="eastAsia"/>
          <w:color w:val="000000"/>
        </w:rPr>
        <w:t>4粒，一日3次。</w:t>
      </w:r>
    </w:p>
    <w:p w14:paraId="289AB8FB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[不良反应]监测数据显示，</w:t>
      </w:r>
      <w:r>
        <w:rPr>
          <w:rFonts w:hint="eastAsia"/>
          <w:szCs w:val="21"/>
        </w:rPr>
        <w:t>本品可见以下不良反应</w:t>
      </w:r>
      <w:r>
        <w:rPr>
          <w:rFonts w:ascii="宋体" w:hAnsi="宋体"/>
          <w:szCs w:val="21"/>
        </w:rPr>
        <w:t>：</w:t>
      </w:r>
      <w:r>
        <w:rPr>
          <w:rFonts w:hint="eastAsia"/>
          <w:bCs/>
          <w:szCs w:val="20"/>
        </w:rPr>
        <w:t>恶心、呕吐、口干、失眠、头痛、乏力、皮疹等。</w:t>
      </w:r>
    </w:p>
    <w:p w14:paraId="0AB34D93">
      <w:pPr>
        <w:spacing w:line="24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[禁忌]</w:t>
      </w:r>
    </w:p>
    <w:p w14:paraId="280E4BF4">
      <w:pPr>
        <w:spacing w:line="24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1.孕妇禁用。</w:t>
      </w:r>
    </w:p>
    <w:p w14:paraId="2E67F478">
      <w:pPr>
        <w:spacing w:line="24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2.</w:t>
      </w:r>
      <w:r>
        <w:rPr>
          <w:rFonts w:ascii="宋体" w:hAnsi="宋体"/>
          <w:b/>
          <w:bCs/>
          <w:szCs w:val="21"/>
        </w:rPr>
        <w:t>对本品及所含成份过敏者禁用</w:t>
      </w:r>
      <w:r>
        <w:rPr>
          <w:rFonts w:hint="eastAsia" w:ascii="宋体" w:hAnsi="宋体"/>
          <w:b/>
          <w:bCs/>
          <w:szCs w:val="21"/>
        </w:rPr>
        <w:t>。</w:t>
      </w:r>
    </w:p>
    <w:p w14:paraId="58BF47A4">
      <w:pPr>
        <w:spacing w:line="240" w:lineRule="atLeast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[注意事项]</w:t>
      </w:r>
    </w:p>
    <w:p w14:paraId="394E9CA8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1.饮食宜清淡，忌酒及辛辣、生冷、油腻食物。</w:t>
      </w:r>
    </w:p>
    <w:p w14:paraId="2C84BACA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2.忌愤怒、忧郁，保持心情舒畅。</w:t>
      </w:r>
    </w:p>
    <w:p w14:paraId="6346E838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3.高血压、心脏病、肝病、糖尿病、肾病等患者应在医师指导下服用。</w:t>
      </w:r>
    </w:p>
    <w:p w14:paraId="100CFD1B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4.哺乳期妇女、年老体弱者应在医师指导下服用。</w:t>
      </w:r>
    </w:p>
    <w:p w14:paraId="6736C726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5.胃痛严重者，应及时去医院就诊。</w:t>
      </w:r>
    </w:p>
    <w:p w14:paraId="4C8B6978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6.萎缩性胃炎、胃溃疡、十二指肠溃疡等患者应去医院就诊。</w:t>
      </w:r>
    </w:p>
    <w:p w14:paraId="633B7A73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7.服药3天症状无缓解，应去医院就诊。</w:t>
      </w:r>
    </w:p>
    <w:p w14:paraId="148D0ABB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8.过敏体质者慎用。</w:t>
      </w:r>
    </w:p>
    <w:p w14:paraId="0D04D80F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9.本品性状发生改变时禁止使用。</w:t>
      </w:r>
    </w:p>
    <w:p w14:paraId="3798BCD5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10.请将本品放在儿童不能接触的地方。</w:t>
      </w:r>
    </w:p>
    <w:p w14:paraId="5AEF4B1F">
      <w:pPr>
        <w:spacing w:line="0" w:lineRule="atLeas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11.如正在使用其他药品，使用本品前请咨询医师或药师。</w:t>
      </w:r>
    </w:p>
    <w:p w14:paraId="148CC063">
      <w:pPr>
        <w:spacing w:line="0" w:lineRule="atLeast"/>
        <w:rPr>
          <w:szCs w:val="21"/>
        </w:rPr>
      </w:pPr>
      <w:r>
        <w:rPr>
          <w:szCs w:val="21"/>
        </w:rPr>
        <w:t>[药物相互作用]如与其他药物同时使用可能会发生药物相互作用，详情请咨询医师或药师</w:t>
      </w:r>
    </w:p>
    <w:p w14:paraId="54AC852B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贮藏</w:t>
      </w:r>
      <w:r>
        <w:rPr>
          <w:szCs w:val="21"/>
        </w:rPr>
        <w:t xml:space="preserve">] 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包装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有效期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执行标准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批准文号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说明书修订日期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药品上市许可持有人</w:t>
      </w:r>
      <w:r>
        <w:rPr>
          <w:szCs w:val="21"/>
        </w:rPr>
        <w:t>]</w:t>
      </w:r>
    </w:p>
    <w:p w14:paraId="1A0E2E66">
      <w:pPr>
        <w:spacing w:line="0" w:lineRule="atLeast"/>
        <w:rPr>
          <w:b/>
          <w:color w:val="000000"/>
          <w:kern w:val="0"/>
          <w:lang w:bidi="ar"/>
        </w:rPr>
      </w:pPr>
      <w:r>
        <w:rPr>
          <w:rFonts w:hint="eastAsia"/>
          <w:szCs w:val="21"/>
        </w:rPr>
        <w:t>名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称：</w:t>
      </w:r>
      <w:r>
        <w:rPr>
          <w:szCs w:val="21"/>
        </w:rPr>
        <w:t xml:space="preserve"> </w:t>
      </w:r>
      <w:r>
        <w:rPr>
          <w:szCs w:val="21"/>
        </w:rPr>
        <w:br w:type="textWrapping"/>
      </w:r>
      <w:r>
        <w:rPr>
          <w:rFonts w:hint="eastAsia"/>
          <w:szCs w:val="21"/>
        </w:rPr>
        <w:t>注册地址：</w:t>
      </w:r>
      <w:r>
        <w:rPr>
          <w:szCs w:val="21"/>
        </w:rPr>
        <w:br w:type="textWrapping"/>
      </w:r>
      <w:r>
        <w:rPr>
          <w:rFonts w:hint="eastAsia"/>
          <w:szCs w:val="21"/>
        </w:rPr>
        <w:t>邮政编码：</w:t>
      </w:r>
      <w:r>
        <w:rPr>
          <w:szCs w:val="21"/>
        </w:rPr>
        <w:br w:type="textWrapping"/>
      </w:r>
      <w:r>
        <w:rPr>
          <w:rFonts w:hint="eastAsia"/>
          <w:szCs w:val="21"/>
        </w:rPr>
        <w:t>电话号码：</w:t>
      </w:r>
      <w:r>
        <w:rPr>
          <w:szCs w:val="21"/>
        </w:rPr>
        <w:br w:type="textWrapping"/>
      </w:r>
      <w:r>
        <w:rPr>
          <w:rFonts w:hint="eastAsia"/>
          <w:szCs w:val="21"/>
        </w:rPr>
        <w:t>传真号码：</w:t>
      </w:r>
      <w:r>
        <w:rPr>
          <w:szCs w:val="21"/>
        </w:rPr>
        <w:br w:type="textWrapping"/>
      </w:r>
      <w:r>
        <w:rPr>
          <w:rFonts w:hint="eastAsia"/>
          <w:szCs w:val="21"/>
        </w:rPr>
        <w:t>网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址：</w:t>
      </w:r>
      <w:r>
        <w:rPr>
          <w:szCs w:val="21"/>
        </w:rPr>
        <w:br w:type="textWrapping"/>
      </w:r>
      <w:r>
        <w:rPr>
          <w:szCs w:val="21"/>
        </w:rPr>
        <w:t>[</w:t>
      </w:r>
      <w:r>
        <w:rPr>
          <w:rFonts w:hint="eastAsia"/>
          <w:szCs w:val="21"/>
        </w:rPr>
        <w:t>生产企业</w:t>
      </w:r>
      <w:r>
        <w:rPr>
          <w:szCs w:val="21"/>
        </w:rPr>
        <w:t>]</w:t>
      </w:r>
      <w:r>
        <w:rPr>
          <w:szCs w:val="21"/>
        </w:rPr>
        <w:br w:type="textWrapping"/>
      </w:r>
      <w:r>
        <w:rPr>
          <w:rFonts w:hint="eastAsia"/>
          <w:szCs w:val="21"/>
        </w:rPr>
        <w:t>企业名称：</w:t>
      </w:r>
      <w:r>
        <w:rPr>
          <w:szCs w:val="21"/>
        </w:rPr>
        <w:t xml:space="preserve"> </w:t>
      </w:r>
      <w:r>
        <w:rPr>
          <w:szCs w:val="21"/>
        </w:rPr>
        <w:br w:type="textWrapping"/>
      </w:r>
      <w:r>
        <w:rPr>
          <w:rFonts w:hint="eastAsia"/>
          <w:szCs w:val="21"/>
        </w:rPr>
        <w:t>生产地址：</w:t>
      </w:r>
      <w:r>
        <w:rPr>
          <w:szCs w:val="21"/>
        </w:rPr>
        <w:br w:type="textWrapping"/>
      </w:r>
      <w:r>
        <w:rPr>
          <w:rFonts w:hint="eastAsia"/>
          <w:b/>
          <w:color w:val="000000"/>
          <w:kern w:val="0"/>
          <w:lang w:bidi="ar"/>
        </w:rPr>
        <w:t>如有问题可与药品上市许可持有人联系。</w:t>
      </w:r>
    </w:p>
    <w:p w14:paraId="1B3E52B6">
      <w:pPr>
        <w:spacing w:line="0" w:lineRule="atLeast"/>
        <w:rPr>
          <w:b/>
          <w:color w:val="000000"/>
          <w:kern w:val="0"/>
          <w:lang w:bidi="ar"/>
        </w:rPr>
      </w:pPr>
    </w:p>
    <w:p w14:paraId="233DB8EF">
      <w:pPr>
        <w:spacing w:line="0" w:lineRule="atLeast"/>
        <w:rPr>
          <w:color w:val="000000"/>
          <w:kern w:val="0"/>
          <w:lang w:bidi="ar"/>
        </w:rPr>
      </w:pPr>
    </w:p>
    <w:p w14:paraId="0896675A">
      <w:pPr>
        <w:spacing w:line="0" w:lineRule="atLeast"/>
        <w:ind w:firstLine="420" w:firstLineChars="200"/>
        <w:rPr>
          <w:rFonts w:hint="eastAsia" w:ascii="宋体" w:hAnsi="宋体" w:cs="宋体"/>
          <w:b/>
          <w:color w:val="000000"/>
          <w:sz w:val="30"/>
          <w:szCs w:val="20"/>
        </w:rPr>
      </w:pPr>
      <w:r>
        <w:rPr>
          <w:rFonts w:hint="eastAsia"/>
          <w:color w:val="000000"/>
          <w:kern w:val="0"/>
          <w:lang w:bidi="ar"/>
        </w:rPr>
        <w:t>（注：本说明书范本原则上不得删减，如原批准说明书的安全性内容较本范本内容更全面或更严格的，应保留原批准内容。）</w:t>
      </w:r>
    </w:p>
    <w:p w14:paraId="13CA3DEE">
      <w:pPr>
        <w:rPr>
          <w:rFonts w:hint="eastAsia" w:ascii="仿宋_GB2312" w:hAnsi="华文仿宋" w:eastAsia="仿宋_GB2312"/>
          <w:sz w:val="32"/>
          <w:szCs w:val="32"/>
        </w:rPr>
      </w:pPr>
    </w:p>
    <w:p w14:paraId="36B4CE86">
      <w:pPr>
        <w:rPr>
          <w:rFonts w:hint="eastAsia" w:ascii="仿宋_GB2312" w:hAnsi="华文仿宋" w:eastAsia="仿宋_GB2312"/>
          <w:sz w:val="32"/>
          <w:szCs w:val="32"/>
        </w:rPr>
      </w:pPr>
    </w:p>
    <w:p w14:paraId="15EAD771">
      <w:pPr>
        <w:rPr>
          <w:rFonts w:hint="eastAsia" w:ascii="仿宋_GB2312" w:hAnsi="华文仿宋" w:eastAsia="仿宋_GB2312"/>
          <w:sz w:val="32"/>
          <w:szCs w:val="32"/>
        </w:rPr>
      </w:pPr>
    </w:p>
    <w:p w14:paraId="3969B761">
      <w:pPr>
        <w:rPr>
          <w:rFonts w:hint="eastAsia" w:ascii="仿宋_GB2312" w:hAnsi="华文仿宋" w:eastAsia="仿宋_GB2312"/>
          <w:sz w:val="32"/>
          <w:szCs w:val="32"/>
        </w:rPr>
      </w:pPr>
      <w:bookmarkStart w:id="0" w:name="_GoBack"/>
      <w:bookmarkEnd w:id="0"/>
    </w:p>
    <w:p w14:paraId="42B4B5AC">
      <w:pPr>
        <w:rPr>
          <w:rFonts w:hint="eastAsia" w:ascii="仿宋_GB2312" w:hAnsi="华文仿宋" w:eastAsia="仿宋_GB2312"/>
          <w:sz w:val="32"/>
          <w:szCs w:val="32"/>
        </w:rPr>
      </w:pPr>
    </w:p>
    <w:p w14:paraId="21DE73A9">
      <w:pPr>
        <w:rPr>
          <w:rFonts w:hint="eastAsia" w:ascii="仿宋_GB2312" w:hAnsi="华文仿宋" w:eastAsia="仿宋_GB2312"/>
          <w:sz w:val="32"/>
          <w:szCs w:val="32"/>
        </w:rPr>
      </w:pPr>
    </w:p>
    <w:p w14:paraId="30A02A26">
      <w:pPr>
        <w:rPr>
          <w:rFonts w:hint="eastAsia" w:ascii="仿宋_GB2312" w:hAnsi="华文仿宋" w:eastAsia="仿宋_GB2312"/>
          <w:sz w:val="32"/>
          <w:szCs w:val="32"/>
        </w:rPr>
      </w:pPr>
    </w:p>
    <w:p w14:paraId="6F6FB350">
      <w:pPr>
        <w:rPr>
          <w:rFonts w:hint="eastAsia" w:ascii="仿宋_GB2312" w:hAnsi="华文仿宋" w:eastAsia="仿宋_GB2312"/>
          <w:sz w:val="32"/>
          <w:szCs w:val="32"/>
        </w:rPr>
      </w:pPr>
    </w:p>
    <w:p w14:paraId="042FB1E4">
      <w:pPr>
        <w:rPr>
          <w:rFonts w:hint="eastAsia" w:ascii="仿宋_GB2312" w:hAnsi="华文仿宋" w:eastAsia="仿宋_GB2312"/>
          <w:sz w:val="18"/>
          <w:szCs w:val="18"/>
        </w:rPr>
      </w:pPr>
    </w:p>
    <w:p w14:paraId="687CE200">
      <w:pPr>
        <w:rPr>
          <w:rFonts w:hint="eastAsia" w:ascii="仿宋_GB2312" w:hAnsi="华文仿宋" w:eastAsia="仿宋_GB2312"/>
          <w:sz w:val="18"/>
          <w:szCs w:val="18"/>
        </w:rPr>
      </w:pPr>
    </w:p>
    <w:p w14:paraId="34912C01">
      <w:pPr>
        <w:rPr>
          <w:rFonts w:hint="eastAsia" w:ascii="仿宋_GB2312" w:hAnsi="华文仿宋" w:eastAsia="仿宋_GB2312"/>
          <w:sz w:val="18"/>
          <w:szCs w:val="18"/>
        </w:rPr>
      </w:pPr>
    </w:p>
    <w:p w14:paraId="7B52672A">
      <w:pPr>
        <w:rPr>
          <w:rFonts w:hint="eastAsia" w:ascii="仿宋_GB2312" w:hAnsi="华文仿宋" w:eastAsia="仿宋_GB2312"/>
          <w:sz w:val="18"/>
          <w:szCs w:val="18"/>
        </w:rPr>
      </w:pPr>
    </w:p>
    <w:p w14:paraId="57919E17">
      <w:pPr>
        <w:rPr>
          <w:rFonts w:hint="eastAsia" w:ascii="仿宋_GB2312" w:hAnsi="华文仿宋" w:eastAsia="仿宋_GB2312"/>
          <w:sz w:val="18"/>
          <w:szCs w:val="18"/>
        </w:rPr>
      </w:pPr>
    </w:p>
    <w:p w14:paraId="4D205AB2">
      <w:pPr>
        <w:ind w:left="1339" w:leftChars="153" w:hanging="1018" w:hangingChars="485"/>
      </w:pPr>
    </w:p>
    <w:sectPr>
      <w:footerReference r:id="rId3" w:type="default"/>
      <w:pgSz w:w="11906" w:h="16838"/>
      <w:pgMar w:top="1928" w:right="1531" w:bottom="1701" w:left="1531" w:header="851" w:footer="1134" w:gutter="0"/>
      <w:pgNumType w:fmt="decimal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A8C7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94D701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94D701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DE3AE1"/>
    <w:rsid w:val="520E5AEA"/>
    <w:rsid w:val="772070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7120</Words>
  <Characters>7318</Characters>
  <Lines>0</Lines>
  <Paragraphs>0</Paragraphs>
  <TotalTime>0</TotalTime>
  <ScaleCrop>false</ScaleCrop>
  <LinksUpToDate>false</LinksUpToDate>
  <CharactersWithSpaces>7656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2026-07-20T14:59:37Z</dcterms:created>
  <dc:creator>zhaogl</dc:creator>
  <cp:lastModifiedBy>YU</cp:lastModifiedBy>
  <dcterms:modified xsi:type="dcterms:W3CDTF">2026-07-20T07:52:55Z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2B615AC6B3FD4265828B9ADD7B0839C4_13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