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AE18B">
      <w:pPr>
        <w:keepNext w:val="0"/>
        <w:keepLines w:val="0"/>
        <w:pageBreakBefore w:val="0"/>
        <w:widowControl/>
        <w:kinsoku/>
        <w:wordWrap/>
        <w:topLinePunct w:val="0"/>
        <w:autoSpaceDE/>
        <w:autoSpaceDN/>
        <w:bidi w:val="0"/>
        <w:adjustRightInd/>
        <w:snapToGrid/>
        <w:spacing w:line="59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p>
    <w:p w14:paraId="199B6ACE">
      <w:pPr>
        <w:keepNext w:val="0"/>
        <w:keepLines w:val="0"/>
        <w:pageBreakBefore w:val="0"/>
        <w:widowControl/>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黑体" w:cs="Times New Roman"/>
          <w:color w:val="auto"/>
          <w:sz w:val="32"/>
          <w:szCs w:val="32"/>
          <w:lang w:val="en-US" w:eastAsia="zh-CN"/>
        </w:rPr>
      </w:pPr>
    </w:p>
    <w:p w14:paraId="7F579E7E">
      <w:pPr>
        <w:keepNext w:val="0"/>
        <w:keepLines w:val="0"/>
        <w:pageBreakBefore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方正小标宋简体" w:cs="Times New Roman"/>
          <w:color w:val="auto"/>
          <w:sz w:val="44"/>
          <w:szCs w:val="32"/>
        </w:rPr>
      </w:pPr>
      <w:r>
        <w:rPr>
          <w:rFonts w:hint="default" w:ascii="Times New Roman" w:hAnsi="Times New Roman" w:eastAsia="方正小标宋简体" w:cs="Times New Roman"/>
          <w:color w:val="auto"/>
          <w:sz w:val="44"/>
          <w:szCs w:val="32"/>
        </w:rPr>
        <w:t>不符合规定项目小知识</w:t>
      </w:r>
    </w:p>
    <w:p w14:paraId="110C44DF">
      <w:pPr>
        <w:keepNext w:val="0"/>
        <w:keepLines w:val="0"/>
        <w:pageBreakBefore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方正小标宋简体" w:cs="Times New Roman"/>
          <w:color w:val="auto"/>
          <w:sz w:val="44"/>
          <w:szCs w:val="32"/>
        </w:rPr>
      </w:pPr>
    </w:p>
    <w:p w14:paraId="7BBB19A8">
      <w:pPr>
        <w:keepNext w:val="0"/>
        <w:keepLines w:val="0"/>
        <w:pageBreakBefore w:val="0"/>
        <w:widowControl w:val="0"/>
        <w:kinsoku/>
        <w:wordWrap/>
        <w:overflowPunct w:val="0"/>
        <w:topLinePunct w:val="0"/>
        <w:autoSpaceDE/>
        <w:autoSpaceDN/>
        <w:bidi w:val="0"/>
        <w:adjustRightInd/>
        <w:snapToGrid/>
        <w:spacing w:after="0" w:line="540" w:lineRule="exact"/>
        <w:ind w:firstLine="640" w:firstLineChars="200"/>
        <w:textAlignment w:val="auto"/>
        <w:rPr>
          <w:rFonts w:eastAsia="仿宋_GB2312"/>
          <w:sz w:val="32"/>
          <w:szCs w:val="32"/>
        </w:rPr>
      </w:pPr>
      <w:r>
        <w:rPr>
          <w:rFonts w:hint="eastAsia" w:eastAsia="仿宋_GB2312"/>
          <w:sz w:val="32"/>
          <w:szCs w:val="32"/>
        </w:rPr>
        <w:t>一</w:t>
      </w:r>
      <w:r>
        <w:rPr>
          <w:rFonts w:eastAsia="仿宋_GB2312"/>
          <w:sz w:val="32"/>
          <w:szCs w:val="32"/>
        </w:rPr>
        <w:t>、</w:t>
      </w:r>
      <w:r>
        <w:rPr>
          <w:rFonts w:hint="eastAsia" w:eastAsia="仿宋_GB2312"/>
          <w:sz w:val="32"/>
          <w:szCs w:val="32"/>
        </w:rPr>
        <w:t>pH值</w:t>
      </w:r>
      <w:r>
        <w:rPr>
          <w:rFonts w:hint="eastAsia" w:eastAsia="仿宋_GB2312"/>
          <w:sz w:val="32"/>
          <w:szCs w:val="32"/>
          <w:lang w:eastAsia="zh-CN"/>
        </w:rPr>
        <w:t>系</w:t>
      </w:r>
      <w:r>
        <w:rPr>
          <w:rFonts w:hint="eastAsia" w:eastAsia="仿宋_GB2312"/>
          <w:sz w:val="32"/>
          <w:szCs w:val="32"/>
        </w:rPr>
        <w:t>指氢离子浓度指数，作为酸碱程度的衡量指标。</w:t>
      </w:r>
    </w:p>
    <w:p w14:paraId="0990F98D">
      <w:pPr>
        <w:keepNext w:val="0"/>
        <w:keepLines w:val="0"/>
        <w:pageBreakBefore w:val="0"/>
        <w:widowControl w:val="0"/>
        <w:kinsoku/>
        <w:wordWrap/>
        <w:topLinePunct w:val="0"/>
        <w:autoSpaceDE/>
        <w:autoSpaceDN/>
        <w:bidi w:val="0"/>
        <w:adjustRightInd/>
        <w:snapToGrid/>
        <w:spacing w:after="0" w:line="540" w:lineRule="exact"/>
        <w:ind w:firstLine="640" w:firstLineChars="200"/>
        <w:textAlignment w:val="auto"/>
        <w:rPr>
          <w:rFonts w:hint="eastAsia" w:ascii="Times New Roman" w:hAnsi="Times New Roman" w:eastAsia="仿宋_GB2312" w:cs="Times New Roman"/>
          <w:color w:val="000000"/>
          <w:kern w:val="0"/>
          <w:sz w:val="32"/>
          <w:szCs w:val="32"/>
          <w:shd w:val="clear" w:color="auto" w:fill="FFFFFF"/>
          <w:lang w:eastAsia="zh-CN" w:bidi="ar"/>
        </w:rPr>
      </w:pPr>
      <w:r>
        <w:rPr>
          <w:rFonts w:hint="eastAsia" w:eastAsia="仿宋_GB2312"/>
          <w:sz w:val="32"/>
          <w:szCs w:val="32"/>
        </w:rPr>
        <w:t>二、</w:t>
      </w:r>
      <w:r>
        <w:rPr>
          <w:rFonts w:eastAsia="仿宋_GB2312"/>
          <w:sz w:val="32"/>
          <w:szCs w:val="32"/>
        </w:rPr>
        <w:t>性状项下</w:t>
      </w:r>
      <w:r>
        <w:rPr>
          <w:rFonts w:hint="eastAsia" w:eastAsia="仿宋_GB2312"/>
          <w:sz w:val="32"/>
          <w:szCs w:val="32"/>
        </w:rPr>
        <w:t>常</w:t>
      </w:r>
      <w:r>
        <w:rPr>
          <w:rFonts w:eastAsia="仿宋_GB2312"/>
          <w:sz w:val="32"/>
          <w:szCs w:val="32"/>
        </w:rPr>
        <w:t>记载外观、臭、味、溶解度以及物理常数等，在一定程度上反映药品的质量特性。</w:t>
      </w:r>
    </w:p>
    <w:p w14:paraId="38E6A86D">
      <w:pPr>
        <w:keepNext w:val="0"/>
        <w:keepLines w:val="0"/>
        <w:pageBreakBefore w:val="0"/>
        <w:widowControl w:val="0"/>
        <w:kinsoku/>
        <w:wordWrap/>
        <w:topLinePunct w:val="0"/>
        <w:autoSpaceDE/>
        <w:autoSpaceDN/>
        <w:bidi w:val="0"/>
        <w:adjustRightInd/>
        <w:snapToGrid/>
        <w:spacing w:after="0" w:line="540" w:lineRule="exact"/>
        <w:ind w:firstLine="640" w:firstLineChars="200"/>
        <w:textAlignment w:val="auto"/>
        <w:rPr>
          <w:rFonts w:hint="eastAsia" w:ascii="Times New Roman" w:hAnsi="Times New Roman" w:eastAsia="仿宋_GB2312" w:cs="Times New Roman"/>
          <w:color w:val="000000"/>
          <w:kern w:val="0"/>
          <w:sz w:val="32"/>
          <w:szCs w:val="32"/>
          <w:shd w:val="clear" w:color="auto" w:fill="FFFFFF"/>
          <w:lang w:eastAsia="zh-CN" w:bidi="ar"/>
        </w:rPr>
      </w:pPr>
      <w:r>
        <w:rPr>
          <w:rFonts w:hint="eastAsia" w:ascii="Times New Roman" w:hAnsi="Times New Roman" w:eastAsia="仿宋_GB2312" w:cs="Times New Roman"/>
          <w:color w:val="000000"/>
          <w:kern w:val="0"/>
          <w:sz w:val="32"/>
          <w:szCs w:val="32"/>
          <w:shd w:val="clear" w:color="auto" w:fill="FFFFFF"/>
          <w:lang w:eastAsia="zh-CN" w:bidi="ar"/>
        </w:rPr>
        <w:t>三、</w:t>
      </w:r>
      <w:r>
        <w:rPr>
          <w:rFonts w:hint="eastAsia" w:eastAsia="仿宋_GB2312"/>
          <w:sz w:val="32"/>
          <w:szCs w:val="32"/>
        </w:rPr>
        <w:t>粒度系指颗粒的大小，药品中对有粒度要求的制剂产品如颗粒剂、混悬型滴眼液等会进行该项目的设定。</w:t>
      </w:r>
    </w:p>
    <w:p w14:paraId="1C2634A1">
      <w:pPr>
        <w:keepNext w:val="0"/>
        <w:keepLines w:val="0"/>
        <w:pageBreakBefore w:val="0"/>
        <w:widowControl w:val="0"/>
        <w:kinsoku/>
        <w:wordWrap/>
        <w:topLinePunct w:val="0"/>
        <w:autoSpaceDE/>
        <w:autoSpaceDN/>
        <w:bidi w:val="0"/>
        <w:adjustRightInd/>
        <w:snapToGrid/>
        <w:spacing w:after="0" w:line="540" w:lineRule="exact"/>
        <w:ind w:firstLine="640" w:firstLineChars="200"/>
        <w:textAlignment w:val="auto"/>
        <w:rPr>
          <w:rFonts w:hint="eastAsia" w:ascii="Times New Roman" w:hAnsi="Times New Roman" w:eastAsia="仿宋_GB2312" w:cs="Times New Roman"/>
          <w:color w:val="000000"/>
          <w:kern w:val="0"/>
          <w:sz w:val="32"/>
          <w:szCs w:val="32"/>
          <w:shd w:val="clear" w:color="auto" w:fill="FFFFFF"/>
          <w:lang w:eastAsia="zh-CN" w:bidi="ar"/>
        </w:rPr>
      </w:pPr>
      <w:r>
        <w:rPr>
          <w:rFonts w:hint="eastAsia" w:ascii="Times New Roman" w:hAnsi="Times New Roman" w:eastAsia="仿宋_GB2312" w:cs="Times New Roman"/>
          <w:color w:val="000000"/>
          <w:kern w:val="0"/>
          <w:sz w:val="32"/>
          <w:szCs w:val="32"/>
          <w:shd w:val="clear" w:color="auto" w:fill="FFFFFF"/>
          <w:lang w:eastAsia="zh-CN" w:bidi="ar"/>
        </w:rPr>
        <w:t>四、</w:t>
      </w:r>
      <w:r>
        <w:rPr>
          <w:rFonts w:hint="eastAsia" w:eastAsia="仿宋_GB2312"/>
          <w:sz w:val="32"/>
          <w:szCs w:val="32"/>
        </w:rPr>
        <w:t>无菌检查法系用于检查药典要求无菌的药品、原料、辅料等是否无菌的一种方法。</w:t>
      </w:r>
    </w:p>
    <w:p w14:paraId="148C42B1">
      <w:pPr>
        <w:keepNext w:val="0"/>
        <w:keepLines w:val="0"/>
        <w:pageBreakBefore w:val="0"/>
        <w:widowControl w:val="0"/>
        <w:kinsoku/>
        <w:wordWrap/>
        <w:topLinePunct w:val="0"/>
        <w:autoSpaceDE/>
        <w:autoSpaceDN/>
        <w:bidi w:val="0"/>
        <w:adjustRightInd/>
        <w:snapToGrid/>
        <w:spacing w:after="0" w:line="540" w:lineRule="exact"/>
        <w:ind w:firstLine="640" w:firstLineChars="200"/>
        <w:textAlignment w:val="auto"/>
        <w:rPr>
          <w:rFonts w:hint="eastAsia" w:ascii="Times New Roman" w:hAnsi="Times New Roman" w:eastAsia="仿宋_GB2312" w:cs="Times New Roman"/>
          <w:color w:val="000000"/>
          <w:kern w:val="0"/>
          <w:sz w:val="32"/>
          <w:szCs w:val="32"/>
          <w:shd w:val="clear" w:color="auto" w:fill="FFFFFF"/>
          <w:lang w:eastAsia="zh-CN" w:bidi="ar"/>
        </w:rPr>
      </w:pPr>
      <w:r>
        <w:rPr>
          <w:rFonts w:hint="eastAsia" w:ascii="Times New Roman" w:hAnsi="Times New Roman" w:eastAsia="仿宋_GB2312" w:cs="Times New Roman"/>
          <w:color w:val="000000"/>
          <w:kern w:val="0"/>
          <w:sz w:val="32"/>
          <w:szCs w:val="32"/>
          <w:shd w:val="clear" w:color="auto" w:fill="FFFFFF"/>
          <w:lang w:eastAsia="zh-CN" w:bidi="ar"/>
        </w:rPr>
        <w:t>五、</w:t>
      </w:r>
      <w:r>
        <w:rPr>
          <w:rFonts w:eastAsia="仿宋_GB2312"/>
          <w:sz w:val="32"/>
          <w:szCs w:val="32"/>
        </w:rPr>
        <w:t>有关物质是指药品中的有机杂质，是反映药品纯度的指标，主要来源为制备过程中带入的杂质和药品在贮存或运输中发生降解产生的杂质。</w:t>
      </w:r>
    </w:p>
    <w:p w14:paraId="10299F60">
      <w:pPr>
        <w:keepNext w:val="0"/>
        <w:keepLines w:val="0"/>
        <w:pageBreakBefore w:val="0"/>
        <w:widowControl w:val="0"/>
        <w:kinsoku/>
        <w:wordWrap/>
        <w:topLinePunct w:val="0"/>
        <w:autoSpaceDE/>
        <w:autoSpaceDN/>
        <w:bidi w:val="0"/>
        <w:adjustRightInd/>
        <w:snapToGrid/>
        <w:spacing w:after="0" w:line="540" w:lineRule="exact"/>
        <w:ind w:firstLine="640" w:firstLineChars="200"/>
        <w:textAlignment w:val="auto"/>
        <w:rPr>
          <w:rFonts w:hint="eastAsia" w:ascii="Times New Roman" w:hAnsi="Times New Roman" w:eastAsia="仿宋_GB2312" w:cs="Times New Roman"/>
          <w:color w:val="000000"/>
          <w:kern w:val="0"/>
          <w:sz w:val="32"/>
          <w:szCs w:val="32"/>
          <w:shd w:val="clear" w:color="auto" w:fill="FFFFFF"/>
          <w:lang w:eastAsia="zh-CN" w:bidi="ar"/>
        </w:rPr>
      </w:pPr>
      <w:r>
        <w:rPr>
          <w:rFonts w:hint="eastAsia" w:ascii="Times New Roman" w:hAnsi="Times New Roman" w:eastAsia="仿宋_GB2312" w:cs="Times New Roman"/>
          <w:color w:val="000000"/>
          <w:kern w:val="0"/>
          <w:sz w:val="32"/>
          <w:szCs w:val="32"/>
          <w:shd w:val="clear" w:color="auto" w:fill="FFFFFF"/>
          <w:lang w:eastAsia="zh-CN" w:bidi="ar"/>
        </w:rPr>
        <w:t>六、</w:t>
      </w:r>
      <w:r>
        <w:rPr>
          <w:rFonts w:hint="eastAsia" w:eastAsia="仿宋_GB2312"/>
          <w:sz w:val="32"/>
          <w:szCs w:val="32"/>
        </w:rPr>
        <w:t>碘化物检查可以评估含碘药物的质量状况。</w:t>
      </w:r>
    </w:p>
    <w:p w14:paraId="6F1F399C">
      <w:pPr>
        <w:keepNext w:val="0"/>
        <w:keepLines w:val="0"/>
        <w:pageBreakBefore w:val="0"/>
        <w:widowControl w:val="0"/>
        <w:kinsoku/>
        <w:wordWrap/>
        <w:topLinePunct w:val="0"/>
        <w:autoSpaceDE/>
        <w:autoSpaceDN/>
        <w:bidi w:val="0"/>
        <w:adjustRightInd/>
        <w:snapToGrid/>
        <w:spacing w:after="0" w:line="540" w:lineRule="exact"/>
        <w:ind w:firstLine="640" w:firstLineChars="200"/>
        <w:textAlignment w:val="auto"/>
        <w:rPr>
          <w:rFonts w:hint="eastAsia" w:ascii="仿宋_GB2312" w:hAnsi="华文仿宋" w:eastAsia="仿宋_GB2312"/>
          <w:sz w:val="32"/>
          <w:szCs w:val="32"/>
        </w:rPr>
      </w:pPr>
      <w:r>
        <w:rPr>
          <w:rFonts w:hint="eastAsia" w:eastAsia="仿宋_GB2312"/>
          <w:sz w:val="32"/>
          <w:szCs w:val="32"/>
          <w:lang w:eastAsia="zh-CN"/>
        </w:rPr>
        <w:t>七、</w:t>
      </w:r>
      <w:r>
        <w:rPr>
          <w:rFonts w:hint="eastAsia" w:eastAsia="仿宋_GB2312"/>
          <w:sz w:val="32"/>
          <w:szCs w:val="32"/>
        </w:rPr>
        <w:t>含量测定系指用规定的试验方法测定原料及制剂中有效成分的含量，一般可采用化学、仪器或生物测定方法。</w:t>
      </w:r>
    </w:p>
    <w:p w14:paraId="7B889AAA">
      <w:pPr>
        <w:spacing w:line="540" w:lineRule="exact"/>
        <w:ind w:firstLine="640" w:firstLineChars="200"/>
        <w:rPr>
          <w:rFonts w:hint="eastAsia" w:ascii="Times New Roman" w:hAnsi="Times New Roman" w:eastAsia="仿宋_GB2312" w:cs="Times New Roman"/>
          <w:color w:val="000000"/>
          <w:kern w:val="0"/>
          <w:sz w:val="32"/>
          <w:szCs w:val="32"/>
          <w:shd w:val="clear" w:color="auto" w:fill="FFFFFF"/>
          <w:lang w:eastAsia="zh-CN" w:bidi="ar"/>
        </w:rPr>
      </w:pPr>
      <w:r>
        <w:rPr>
          <w:rFonts w:hint="eastAsia" w:ascii="Times New Roman" w:hAnsi="Times New Roman" w:eastAsia="仿宋_GB2312" w:cs="Times New Roman"/>
          <w:color w:val="000000"/>
          <w:kern w:val="0"/>
          <w:sz w:val="32"/>
          <w:szCs w:val="32"/>
          <w:shd w:val="clear" w:color="auto" w:fill="FFFFFF"/>
          <w:lang w:eastAsia="zh-CN" w:bidi="ar"/>
        </w:rPr>
        <w:t>八、</w:t>
      </w:r>
      <w:r>
        <w:rPr>
          <w:rFonts w:hint="eastAsia" w:eastAsia="仿宋_GB2312"/>
          <w:sz w:val="32"/>
          <w:szCs w:val="32"/>
        </w:rPr>
        <w:t>杂质检查可反映中药饮片中掺入或混入杂质的情况。</w:t>
      </w:r>
    </w:p>
    <w:p w14:paraId="16D7AF52">
      <w:pPr>
        <w:tabs>
          <w:tab w:val="left" w:pos="1302"/>
        </w:tabs>
        <w:spacing w:line="540" w:lineRule="exact"/>
        <w:ind w:firstLine="640" w:firstLineChars="200"/>
        <w:rPr>
          <w:rFonts w:hint="eastAsia" w:eastAsia="仿宋_GB2312"/>
          <w:sz w:val="32"/>
          <w:szCs w:val="32"/>
        </w:rPr>
      </w:pPr>
      <w:r>
        <w:rPr>
          <w:rFonts w:hint="eastAsia" w:ascii="Times New Roman" w:hAnsi="Times New Roman" w:eastAsia="仿宋_GB2312" w:cs="Times New Roman"/>
          <w:color w:val="000000"/>
          <w:kern w:val="0"/>
          <w:sz w:val="32"/>
          <w:szCs w:val="32"/>
          <w:shd w:val="clear" w:color="auto" w:fill="FFFFFF"/>
          <w:lang w:eastAsia="zh-CN" w:bidi="ar"/>
        </w:rPr>
        <w:t>九、</w:t>
      </w:r>
      <w:r>
        <w:rPr>
          <w:rFonts w:eastAsia="仿宋_GB2312"/>
          <w:sz w:val="32"/>
          <w:szCs w:val="32"/>
        </w:rPr>
        <w:t>黄曲霉毒素可以由黄曲霉菌</w:t>
      </w:r>
      <w:r>
        <w:rPr>
          <w:rFonts w:hint="eastAsia" w:eastAsia="仿宋_GB2312"/>
          <w:sz w:val="32"/>
          <w:szCs w:val="32"/>
        </w:rPr>
        <w:t>等</w:t>
      </w:r>
      <w:r>
        <w:rPr>
          <w:rFonts w:eastAsia="仿宋_GB2312"/>
          <w:sz w:val="32"/>
          <w:szCs w:val="32"/>
        </w:rPr>
        <w:t>真菌产生。中药在贮存、制备、运输过程中若保存不当，可能因受潮霉变而产生黄曲霉毒素。</w:t>
      </w:r>
    </w:p>
    <w:p w14:paraId="0F8C168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896770"/>
    <w:rsid w:val="7E896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2026-09-04T08:41:00Z</dcterms:created>
  <dc:creator>YU</dc:creator>
  <cp:lastModifiedBy>YU</cp:lastModifiedBy>
  <dcterms:modified xsi:type="dcterms:W3CDTF">2026-09-04T08:41:48Z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52A365518BBA4BBCB5AC1AC123EAAF9D_11</vt:lpwstr>
  </property>
  <property fmtid="{D5CDD505-2E9C-101B-9397-08002B2CF9AE}" pid="4" name="KSOTemplateDocerSaveRecord">
    <vt:lpwstr>eyJoZGlkIjoiNzUzMjcxYjI3MDRjMDIwZmVmYTgzNGM3MjE3OGJkMDMiLCJ1c2VySWQiOiIyNzgyMDExNzcifQ==</vt:lpwstr>
  </property>
</Properties>
</file>