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numPr>
          <w:ilvl w:val="0"/>
          <w:numId w:val="0"/>
        </w:numPr>
        <w:kinsoku/>
        <w:wordWrap/>
        <w:overflowPunct/>
        <w:topLinePunct w:val="0"/>
        <w:bidi w:val="0"/>
        <w:snapToGrid/>
        <w:spacing w:line="540" w:lineRule="exact"/>
        <w:jc w:val="both"/>
        <w:textAlignment w:val="auto"/>
        <w:rPr>
          <w:rFonts w:hint="eastAsia" w:ascii="方正黑体_GBK" w:hAnsi="方正黑体_GBK" w:eastAsia="方正黑体_GBK" w:cs="方正黑体_GBK"/>
          <w:b/>
          <w:bCs/>
          <w:i w:val="0"/>
          <w:iCs w:val="0"/>
          <w:caps w:val="0"/>
          <w:color w:val="auto"/>
          <w:spacing w:val="0"/>
          <w:sz w:val="31"/>
          <w:szCs w:val="31"/>
          <w:shd w:val="clear" w:fill="FFFFFF"/>
          <w:lang w:val="en-US" w:eastAsia="zh-CN"/>
        </w:rPr>
      </w:pPr>
      <w:r>
        <w:rPr>
          <w:rFonts w:hint="eastAsia" w:ascii="方正黑体_GBK" w:hAnsi="方正黑体_GBK" w:eastAsia="方正黑体_GBK" w:cs="方正黑体_GBK"/>
          <w:b w:val="0"/>
          <w:bCs w:val="0"/>
          <w:i w:val="0"/>
          <w:iCs w:val="0"/>
          <w:caps w:val="0"/>
          <w:color w:val="auto"/>
          <w:spacing w:val="0"/>
          <w:sz w:val="32"/>
          <w:szCs w:val="32"/>
          <w:shd w:val="clear" w:fill="FFFFFF"/>
          <w:lang w:val="en-US" w:eastAsia="zh-CN"/>
        </w:rPr>
        <w:t>附件1：</w:t>
      </w:r>
    </w:p>
    <w:p>
      <w:pPr>
        <w:pStyle w:val="10"/>
        <w:keepNext w:val="0"/>
        <w:keepLines w:val="0"/>
        <w:pageBreakBefore w:val="0"/>
        <w:numPr>
          <w:ilvl w:val="0"/>
          <w:numId w:val="0"/>
        </w:numPr>
        <w:kinsoku/>
        <w:wordWrap/>
        <w:overflowPunct/>
        <w:topLinePunct w:val="0"/>
        <w:bidi w:val="0"/>
        <w:snapToGrid/>
        <w:spacing w:line="540" w:lineRule="exact"/>
        <w:jc w:val="center"/>
        <w:textAlignment w:val="auto"/>
        <w:rPr>
          <w:rFonts w:hint="eastAsia" w:ascii="仿宋" w:hAnsi="仿宋" w:eastAsia="仿宋" w:cs="仿宋"/>
          <w:b/>
          <w:bCs/>
          <w:i w:val="0"/>
          <w:iCs w:val="0"/>
          <w:caps w:val="0"/>
          <w:color w:val="auto"/>
          <w:spacing w:val="0"/>
          <w:sz w:val="44"/>
          <w:szCs w:val="44"/>
          <w:shd w:val="clear" w:fill="FFFFFF"/>
          <w:lang w:val="en-US" w:eastAsia="zh-CN"/>
        </w:rPr>
      </w:pPr>
    </w:p>
    <w:p>
      <w:pPr>
        <w:pStyle w:val="10"/>
        <w:keepNext w:val="0"/>
        <w:keepLines w:val="0"/>
        <w:pageBreakBefore w:val="0"/>
        <w:numPr>
          <w:ilvl w:val="0"/>
          <w:numId w:val="0"/>
        </w:numPr>
        <w:kinsoku/>
        <w:wordWrap/>
        <w:overflowPunct/>
        <w:topLinePunct w:val="0"/>
        <w:bidi w:val="0"/>
        <w:snapToGrid/>
        <w:spacing w:line="540" w:lineRule="exact"/>
        <w:jc w:val="center"/>
        <w:textAlignment w:val="auto"/>
        <w:rPr>
          <w:rFonts w:hint="eastAsia" w:ascii="仿宋" w:hAnsi="仿宋" w:eastAsia="仿宋" w:cs="仿宋"/>
          <w:b/>
          <w:bCs/>
          <w:i w:val="0"/>
          <w:iCs w:val="0"/>
          <w:caps w:val="0"/>
          <w:color w:val="auto"/>
          <w:spacing w:val="0"/>
          <w:sz w:val="44"/>
          <w:szCs w:val="44"/>
          <w:shd w:val="clear" w:fill="FFFFFF"/>
          <w:lang w:val="en-US" w:eastAsia="zh-CN"/>
        </w:rPr>
      </w:pPr>
    </w:p>
    <w:p>
      <w:pPr>
        <w:pStyle w:val="10"/>
        <w:keepNext w:val="0"/>
        <w:keepLines w:val="0"/>
        <w:pageBreakBefore w:val="0"/>
        <w:numPr>
          <w:ilvl w:val="0"/>
          <w:numId w:val="0"/>
        </w:numPr>
        <w:kinsoku/>
        <w:wordWrap/>
        <w:overflowPunct/>
        <w:topLinePunct w:val="0"/>
        <w:bidi w:val="0"/>
        <w:snapToGrid/>
        <w:spacing w:line="540" w:lineRule="exact"/>
        <w:jc w:val="center"/>
        <w:textAlignment w:val="auto"/>
        <w:rPr>
          <w:rFonts w:hint="default" w:ascii="仿宋" w:hAnsi="仿宋" w:eastAsia="仿宋" w:cs="仿宋"/>
          <w:b/>
          <w:bCs/>
          <w:i w:val="0"/>
          <w:iCs w:val="0"/>
          <w:caps w:val="0"/>
          <w:color w:val="auto"/>
          <w:spacing w:val="0"/>
          <w:sz w:val="44"/>
          <w:szCs w:val="44"/>
          <w:shd w:val="clear" w:fill="FFFFFF"/>
          <w:lang w:val="en-US" w:eastAsia="zh-CN"/>
        </w:rPr>
      </w:pPr>
      <w:r>
        <w:rPr>
          <w:rFonts w:hint="eastAsia" w:ascii="仿宋" w:hAnsi="仿宋" w:eastAsia="仿宋" w:cs="仿宋"/>
          <w:b/>
          <w:bCs/>
          <w:i w:val="0"/>
          <w:iCs w:val="0"/>
          <w:caps w:val="0"/>
          <w:color w:val="auto"/>
          <w:spacing w:val="0"/>
          <w:sz w:val="44"/>
          <w:szCs w:val="44"/>
          <w:shd w:val="clear" w:fill="FFFFFF"/>
          <w:lang w:val="en-US" w:eastAsia="zh-CN"/>
        </w:rPr>
        <w:t>企业自主建立配送关系及各市医疗保障部门导出配送关系操作指南</w:t>
      </w:r>
    </w:p>
    <w:p>
      <w:pPr>
        <w:pStyle w:val="10"/>
        <w:keepNext w:val="0"/>
        <w:keepLines w:val="0"/>
        <w:pageBreakBefore w:val="0"/>
        <w:numPr>
          <w:ilvl w:val="0"/>
          <w:numId w:val="0"/>
        </w:numPr>
        <w:kinsoku/>
        <w:wordWrap/>
        <w:overflowPunct/>
        <w:topLinePunct w:val="0"/>
        <w:bidi w:val="0"/>
        <w:snapToGrid/>
        <w:spacing w:line="540" w:lineRule="exact"/>
        <w:ind w:firstLine="640" w:firstLineChars="200"/>
        <w:jc w:val="both"/>
        <w:textAlignment w:val="auto"/>
        <w:rPr>
          <w:rFonts w:hint="eastAsia" w:ascii="CESI仿宋-GB2312" w:hAnsi="CESI仿宋-GB2312" w:eastAsia="CESI仿宋-GB2312"/>
          <w:b/>
          <w:bCs/>
          <w:color w:val="000000"/>
          <w:sz w:val="32"/>
          <w:szCs w:val="32"/>
          <w:lang w:eastAsia="zh-CN"/>
        </w:rPr>
      </w:pPr>
    </w:p>
    <w:p>
      <w:pPr>
        <w:pStyle w:val="10"/>
        <w:keepNext w:val="0"/>
        <w:keepLines w:val="0"/>
        <w:pageBreakBefore w:val="0"/>
        <w:numPr>
          <w:ilvl w:val="0"/>
          <w:numId w:val="0"/>
        </w:numPr>
        <w:kinsoku/>
        <w:wordWrap/>
        <w:overflowPunct/>
        <w:topLinePunct w:val="0"/>
        <w:bidi w:val="0"/>
        <w:snapToGrid/>
        <w:spacing w:line="540" w:lineRule="exact"/>
        <w:ind w:firstLine="640" w:firstLineChars="200"/>
        <w:jc w:val="both"/>
        <w:textAlignment w:val="auto"/>
        <w:rPr>
          <w:rFonts w:hint="eastAsia" w:ascii="CESI仿宋-GB2312" w:hAnsi="CESI仿宋-GB2312" w:eastAsia="CESI仿宋-GB2312"/>
          <w:color w:val="000000"/>
          <w:sz w:val="32"/>
          <w:szCs w:val="32"/>
          <w:lang w:val="en-US" w:eastAsia="zh-CN"/>
        </w:rPr>
      </w:pPr>
      <w:r>
        <w:rPr>
          <w:rFonts w:hint="eastAsia" w:ascii="CESI仿宋-GB2312" w:hAnsi="CESI仿宋-GB2312" w:eastAsia="CESI仿宋-GB2312" w:cs="CESI仿宋-GB2312"/>
          <w:b/>
          <w:bCs/>
          <w:color w:val="auto"/>
          <w:sz w:val="32"/>
          <w:szCs w:val="32"/>
          <w:highlight w:val="none"/>
          <w:lang w:val="en-US" w:eastAsia="zh-CN"/>
        </w:rPr>
        <w:t>集采类医用耗材：</w:t>
      </w:r>
      <w:r>
        <w:rPr>
          <w:rFonts w:hint="eastAsia" w:ascii="CESI仿宋-GB2312" w:hAnsi="CESI仿宋-GB2312" w:eastAsia="CESI仿宋-GB2312"/>
          <w:b/>
          <w:bCs/>
          <w:color w:val="000000"/>
          <w:sz w:val="32"/>
          <w:szCs w:val="32"/>
          <w:lang w:val="en-US" w:eastAsia="zh-CN"/>
        </w:rPr>
        <w:t>相关中</w:t>
      </w:r>
      <w:r>
        <w:rPr>
          <w:rFonts w:hint="eastAsia" w:ascii="CESI仿宋-GB2312" w:hAnsi="CESI仿宋-GB2312" w:eastAsia="CESI仿宋-GB2312"/>
          <w:b/>
          <w:bCs/>
          <w:color w:val="000000"/>
          <w:sz w:val="32"/>
          <w:szCs w:val="32"/>
          <w:lang w:eastAsia="zh-CN"/>
        </w:rPr>
        <w:t>选企业</w:t>
      </w:r>
      <w:r>
        <w:rPr>
          <w:rFonts w:hint="eastAsia" w:ascii="CESI仿宋-GB2312" w:hAnsi="CESI仿宋-GB2312" w:eastAsia="CESI仿宋-GB2312"/>
          <w:color w:val="000000"/>
          <w:sz w:val="32"/>
          <w:szCs w:val="32"/>
          <w:lang w:eastAsia="zh-CN"/>
        </w:rPr>
        <w:t>通过本单位帐号</w:t>
      </w:r>
      <w:r>
        <w:rPr>
          <w:rFonts w:hint="eastAsia" w:ascii="CESI仿宋-GB2312" w:hAnsi="CESI仿宋-GB2312" w:eastAsia="CESI仿宋-GB2312" w:cs="CESI仿宋-GB2312"/>
          <w:color w:val="auto"/>
          <w:sz w:val="32"/>
          <w:szCs w:val="32"/>
          <w:highlight w:val="none"/>
        </w:rPr>
        <w:t>登录</w:t>
      </w:r>
      <w:r>
        <w:rPr>
          <w:rFonts w:hint="eastAsia" w:ascii="CESI仿宋-GB2312" w:hAnsi="CESI仿宋-GB2312" w:eastAsia="CESI仿宋-GB2312" w:cs="CESI仿宋-GB2312"/>
          <w:b w:val="0"/>
          <w:bCs w:val="0"/>
          <w:color w:val="auto"/>
          <w:sz w:val="32"/>
          <w:szCs w:val="32"/>
          <w:highlight w:val="none"/>
          <w:lang w:eastAsia="zh-CN"/>
        </w:rPr>
        <w:t>辽宁省</w:t>
      </w:r>
      <w:r>
        <w:rPr>
          <w:rFonts w:hint="eastAsia" w:ascii="CESI仿宋-GB2312" w:hAnsi="CESI仿宋-GB2312" w:eastAsia="CESI仿宋-GB2312" w:cs="CESI仿宋-GB2312"/>
          <w:color w:val="auto"/>
          <w:sz w:val="32"/>
          <w:szCs w:val="32"/>
          <w:highlight w:val="none"/>
          <w:lang w:eastAsia="zh-CN"/>
        </w:rPr>
        <w:t>医保服务平</w:t>
      </w:r>
      <w:r>
        <w:rPr>
          <w:rFonts w:hint="eastAsia" w:ascii="CESI仿宋-GB2312" w:hAnsi="CESI仿宋-GB2312" w:eastAsia="CESI仿宋-GB2312"/>
          <w:color w:val="000000"/>
          <w:sz w:val="32"/>
          <w:szCs w:val="32"/>
          <w:lang w:eastAsia="zh-CN"/>
        </w:rPr>
        <w:t>台药品和耗材招采管理子系统（</w:t>
      </w:r>
      <w:r>
        <w:rPr>
          <w:rFonts w:hint="eastAsia" w:ascii="CESI仿宋-GB2312" w:hAnsi="CESI仿宋-GB2312" w:eastAsia="CESI仿宋-GB2312"/>
          <w:color w:val="000000"/>
          <w:sz w:val="32"/>
          <w:szCs w:val="32"/>
          <w:lang w:val="en-US" w:eastAsia="zh-CN"/>
        </w:rPr>
        <w:t>网址</w:t>
      </w:r>
      <w:r>
        <w:rPr>
          <w:rFonts w:hint="eastAsia" w:ascii="CESI仿宋-GB2312" w:hAnsi="CESI仿宋-GB2312" w:eastAsia="CESI仿宋-GB2312"/>
          <w:color w:val="000000"/>
          <w:sz w:val="32"/>
          <w:szCs w:val="32"/>
          <w:lang w:eastAsia="zh-CN"/>
        </w:rPr>
        <w:fldChar w:fldCharType="begin"/>
      </w:r>
      <w:r>
        <w:rPr>
          <w:rFonts w:hint="eastAsia" w:ascii="CESI仿宋-GB2312" w:hAnsi="CESI仿宋-GB2312" w:eastAsia="CESI仿宋-GB2312"/>
          <w:color w:val="000000"/>
          <w:sz w:val="32"/>
          <w:szCs w:val="32"/>
          <w:lang w:eastAsia="zh-CN"/>
        </w:rPr>
        <w:instrText xml:space="preserve"> HYPERLINK "https://ggfw.ybj.ln.gov.cn/lnzc/hsa-local/web/hallEnter/#/unitLogin，简称\“招采管理子系统\”，下同）进行完成操作。" </w:instrText>
      </w:r>
      <w:r>
        <w:rPr>
          <w:rFonts w:hint="eastAsia" w:ascii="CESI仿宋-GB2312" w:hAnsi="CESI仿宋-GB2312" w:eastAsia="CESI仿宋-GB2312"/>
          <w:color w:val="000000"/>
          <w:sz w:val="32"/>
          <w:szCs w:val="32"/>
          <w:lang w:eastAsia="zh-CN"/>
        </w:rPr>
        <w:fldChar w:fldCharType="separate"/>
      </w:r>
      <w:r>
        <w:rPr>
          <w:rFonts w:hint="eastAsia" w:ascii="CESI仿宋-GB2312" w:hAnsi="CESI仿宋-GB2312" w:eastAsia="CESI仿宋-GB2312"/>
          <w:color w:val="000000"/>
          <w:sz w:val="32"/>
          <w:szCs w:val="32"/>
          <w:lang w:eastAsia="zh-CN"/>
        </w:rPr>
        <w:t>https://ggfw.ybj.ln.gov.cn/lnzc/hsa-local/web/hallEnter/#/unitLogin）</w:t>
      </w:r>
      <w:r>
        <w:rPr>
          <w:rFonts w:hint="eastAsia" w:ascii="CESI仿宋-GB2312" w:hAnsi="CESI仿宋-GB2312" w:eastAsia="CESI仿宋-GB2312"/>
          <w:color w:val="000000"/>
          <w:sz w:val="32"/>
          <w:szCs w:val="32"/>
          <w:lang w:eastAsia="zh-CN"/>
        </w:rPr>
        <w:fldChar w:fldCharType="end"/>
      </w:r>
      <w:r>
        <w:rPr>
          <w:rFonts w:hint="eastAsia" w:ascii="CESI仿宋-GB2312" w:hAnsi="CESI仿宋-GB2312" w:eastAsia="CESI仿宋-GB2312"/>
          <w:color w:val="000000"/>
          <w:sz w:val="32"/>
          <w:szCs w:val="32"/>
          <w:lang w:eastAsia="zh-CN"/>
        </w:rPr>
        <w:t>，点击“耗材交易结算”模块，选择“配送关系管</w:t>
      </w:r>
      <w:r>
        <w:rPr>
          <w:rFonts w:hint="eastAsia" w:ascii="CESI仿宋-GB2312" w:hAnsi="CESI仿宋-GB2312" w:eastAsia="CESI仿宋-GB2312" w:cs="CESI仿宋-GB2312"/>
          <w:color w:val="auto"/>
          <w:sz w:val="32"/>
          <w:szCs w:val="32"/>
          <w:lang w:eastAsia="zh-CN"/>
        </w:rPr>
        <w:t>理”</w:t>
      </w:r>
      <w:r>
        <w:rPr>
          <w:rFonts w:hint="eastAsia" w:ascii="CESI仿宋-GB2312" w:hAnsi="CESI仿宋-GB2312" w:eastAsia="CESI仿宋-GB2312"/>
          <w:color w:val="000000"/>
          <w:sz w:val="32"/>
          <w:szCs w:val="32"/>
          <w:lang w:eastAsia="zh-CN"/>
        </w:rPr>
        <w:t>“上报配送企业”</w:t>
      </w:r>
      <w:r>
        <w:rPr>
          <w:rFonts w:hint="eastAsia" w:ascii="CESI仿宋-GB2312" w:hAnsi="CESI仿宋-GB2312" w:eastAsia="CESI仿宋-GB2312"/>
          <w:color w:val="000000"/>
          <w:sz w:val="32"/>
          <w:szCs w:val="32"/>
          <w:lang w:val="en-US" w:eastAsia="zh-CN"/>
        </w:rPr>
        <w:t xml:space="preserve"> </w:t>
      </w:r>
      <w:r>
        <w:rPr>
          <w:rFonts w:hint="eastAsia" w:ascii="CESI仿宋-GB2312" w:hAnsi="CESI仿宋-GB2312" w:eastAsia="CESI仿宋-GB2312" w:cs="CESI仿宋-GB2312"/>
          <w:color w:val="auto"/>
          <w:sz w:val="32"/>
          <w:szCs w:val="32"/>
          <w:lang w:eastAsia="zh-CN"/>
        </w:rPr>
        <w:t>菜单完成</w:t>
      </w:r>
      <w:r>
        <w:rPr>
          <w:rFonts w:hint="eastAsia" w:ascii="CESI仿宋-GB2312" w:hAnsi="CESI仿宋-GB2312" w:eastAsia="CESI仿宋-GB2312" w:cs="CESI仿宋-GB2312"/>
          <w:color w:val="auto"/>
          <w:sz w:val="32"/>
          <w:szCs w:val="32"/>
        </w:rPr>
        <w:t>操作</w:t>
      </w:r>
      <w:r>
        <w:rPr>
          <w:rFonts w:hint="eastAsia" w:ascii="CESI仿宋-GB2312" w:hAnsi="CESI仿宋-GB2312" w:eastAsia="CESI仿宋-GB2312" w:cs="CESI仿宋-GB2312"/>
          <w:color w:val="auto"/>
          <w:sz w:val="32"/>
          <w:szCs w:val="32"/>
          <w:lang w:eastAsia="zh-CN"/>
        </w:rPr>
        <w:t>。</w:t>
      </w:r>
    </w:p>
    <w:p>
      <w:pPr>
        <w:pStyle w:val="10"/>
        <w:keepNext w:val="0"/>
        <w:keepLines w:val="0"/>
        <w:pageBreakBefore w:val="0"/>
        <w:numPr>
          <w:ilvl w:val="0"/>
          <w:numId w:val="0"/>
        </w:numPr>
        <w:kinsoku/>
        <w:wordWrap/>
        <w:overflowPunct/>
        <w:topLinePunct w:val="0"/>
        <w:bidi w:val="0"/>
        <w:snapToGrid/>
        <w:spacing w:line="540" w:lineRule="exact"/>
        <w:ind w:firstLine="640" w:firstLineChars="200"/>
        <w:jc w:val="both"/>
        <w:textAlignment w:val="auto"/>
        <w:rPr>
          <w:rFonts w:hint="eastAsia" w:ascii="CESI仿宋-GB2312" w:hAnsi="CESI仿宋-GB2312" w:eastAsia="CESI仿宋-GB2312" w:cs="CESI仿宋-GB2312"/>
          <w:b/>
          <w:bCs/>
          <w:color w:val="FF0000"/>
          <w:sz w:val="32"/>
          <w:szCs w:val="32"/>
          <w:highlight w:val="none"/>
          <w:lang w:eastAsia="zh-CN"/>
        </w:rPr>
      </w:pPr>
      <w:r>
        <w:rPr>
          <w:rFonts w:hint="eastAsia" w:ascii="CESI仿宋-GB2312" w:hAnsi="CESI仿宋-GB2312" w:eastAsia="CESI仿宋-GB2312" w:cs="CESI仿宋-GB2312"/>
          <w:b/>
          <w:bCs/>
          <w:sz w:val="32"/>
          <w:szCs w:val="32"/>
          <w:highlight w:val="none"/>
        </w:rPr>
        <w:t>各市医疗保障</w:t>
      </w:r>
      <w:r>
        <w:rPr>
          <w:rFonts w:hint="eastAsia" w:ascii="CESI仿宋-GB2312" w:hAnsi="CESI仿宋-GB2312" w:eastAsia="CESI仿宋-GB2312" w:cs="CESI仿宋-GB2312"/>
          <w:b/>
          <w:bCs/>
          <w:sz w:val="32"/>
          <w:szCs w:val="32"/>
          <w:highlight w:val="none"/>
          <w:lang w:eastAsia="zh-CN"/>
        </w:rPr>
        <w:t>部门</w:t>
      </w:r>
      <w:r>
        <w:rPr>
          <w:rFonts w:hint="eastAsia" w:ascii="CESI仿宋-GB2312" w:hAnsi="CESI仿宋-GB2312" w:eastAsia="CESI仿宋-GB2312"/>
          <w:color w:val="000000"/>
          <w:sz w:val="32"/>
          <w:szCs w:val="32"/>
          <w:highlight w:val="none"/>
          <w:lang w:eastAsia="zh-CN"/>
        </w:rPr>
        <w:t>通过本单位帐号</w:t>
      </w:r>
      <w:r>
        <w:rPr>
          <w:rFonts w:hint="eastAsia" w:ascii="CESI仿宋-GB2312" w:hAnsi="CESI仿宋-GB2312" w:eastAsia="CESI仿宋-GB2312" w:cs="CESI仿宋-GB2312"/>
          <w:color w:val="auto"/>
          <w:sz w:val="32"/>
          <w:szCs w:val="32"/>
          <w:highlight w:val="none"/>
        </w:rPr>
        <w:t>登录</w:t>
      </w:r>
      <w:r>
        <w:rPr>
          <w:rFonts w:hint="eastAsia" w:ascii="CESI仿宋-GB2312" w:hAnsi="CESI仿宋-GB2312" w:eastAsia="CESI仿宋-GB2312" w:cs="CESI仿宋-GB2312"/>
          <w:b w:val="0"/>
          <w:bCs w:val="0"/>
          <w:color w:val="auto"/>
          <w:sz w:val="32"/>
          <w:szCs w:val="32"/>
          <w:highlight w:val="none"/>
          <w:lang w:eastAsia="zh-CN"/>
        </w:rPr>
        <w:t>辽宁省</w:t>
      </w:r>
      <w:r>
        <w:rPr>
          <w:rFonts w:hint="eastAsia" w:ascii="CESI仿宋-GB2312" w:hAnsi="CESI仿宋-GB2312" w:eastAsia="CESI仿宋-GB2312" w:cs="CESI仿宋-GB2312"/>
          <w:color w:val="auto"/>
          <w:sz w:val="32"/>
          <w:szCs w:val="32"/>
          <w:highlight w:val="none"/>
          <w:lang w:eastAsia="zh-CN"/>
        </w:rPr>
        <w:t>医保服务平</w:t>
      </w:r>
      <w:r>
        <w:rPr>
          <w:rFonts w:hint="eastAsia" w:ascii="CESI仿宋-GB2312" w:hAnsi="CESI仿宋-GB2312" w:eastAsia="CESI仿宋-GB2312"/>
          <w:color w:val="000000"/>
          <w:sz w:val="32"/>
          <w:szCs w:val="32"/>
          <w:highlight w:val="none"/>
          <w:lang w:eastAsia="zh-CN"/>
        </w:rPr>
        <w:t>台药品和耗材招采管理子系统（</w:t>
      </w:r>
      <w:r>
        <w:rPr>
          <w:rFonts w:hint="eastAsia" w:ascii="CESI仿宋-GB2312" w:hAnsi="CESI仿宋-GB2312" w:eastAsia="CESI仿宋-GB2312"/>
          <w:color w:val="000000"/>
          <w:sz w:val="32"/>
          <w:szCs w:val="32"/>
          <w:highlight w:val="none"/>
          <w:lang w:val="en-US" w:eastAsia="zh-CN"/>
        </w:rPr>
        <w:t>网址</w:t>
      </w:r>
      <w:r>
        <w:rPr>
          <w:rFonts w:hint="eastAsia" w:ascii="CESI仿宋-GB2312" w:hAnsi="CESI仿宋-GB2312" w:eastAsia="CESI仿宋-GB2312"/>
          <w:color w:val="000000"/>
          <w:sz w:val="32"/>
          <w:szCs w:val="32"/>
          <w:highlight w:val="none"/>
          <w:lang w:eastAsia="zh-CN"/>
        </w:rPr>
        <w:fldChar w:fldCharType="begin"/>
      </w:r>
      <w:r>
        <w:rPr>
          <w:rFonts w:hint="eastAsia" w:ascii="CESI仿宋-GB2312" w:hAnsi="CESI仿宋-GB2312" w:eastAsia="CESI仿宋-GB2312"/>
          <w:color w:val="000000"/>
          <w:sz w:val="32"/>
          <w:szCs w:val="32"/>
          <w:highlight w:val="none"/>
          <w:lang w:eastAsia="zh-CN"/>
        </w:rPr>
        <w:instrText xml:space="preserve"> HYPERLINK "https://ggfw.ybj.ln.gov.cn/lnzc/hsa-local/web/hallEnter/#/unitLogin，简称\“招采管理子系统\”，下同）进行完成操作。" </w:instrText>
      </w:r>
      <w:r>
        <w:rPr>
          <w:rFonts w:hint="eastAsia" w:ascii="CESI仿宋-GB2312" w:hAnsi="CESI仿宋-GB2312" w:eastAsia="CESI仿宋-GB2312"/>
          <w:color w:val="000000"/>
          <w:sz w:val="32"/>
          <w:szCs w:val="32"/>
          <w:highlight w:val="none"/>
          <w:lang w:eastAsia="zh-CN"/>
        </w:rPr>
        <w:fldChar w:fldCharType="separate"/>
      </w:r>
      <w:r>
        <w:rPr>
          <w:rFonts w:hint="eastAsia" w:ascii="CESI仿宋-GB2312" w:hAnsi="CESI仿宋-GB2312" w:eastAsia="CESI仿宋-GB2312"/>
          <w:color w:val="000000"/>
          <w:sz w:val="32"/>
          <w:szCs w:val="32"/>
          <w:highlight w:val="none"/>
          <w:lang w:eastAsia="zh-CN"/>
        </w:rPr>
        <w:t>https://ggfw.ybj.ln.gov.cn/tps-web/login）</w:t>
      </w:r>
      <w:r>
        <w:rPr>
          <w:rFonts w:hint="eastAsia" w:ascii="CESI仿宋-GB2312" w:hAnsi="CESI仿宋-GB2312" w:eastAsia="CESI仿宋-GB2312"/>
          <w:color w:val="000000"/>
          <w:sz w:val="32"/>
          <w:szCs w:val="32"/>
          <w:highlight w:val="none"/>
          <w:lang w:eastAsia="zh-CN"/>
        </w:rPr>
        <w:fldChar w:fldCharType="end"/>
      </w:r>
      <w:r>
        <w:rPr>
          <w:rFonts w:hint="eastAsia" w:ascii="CESI仿宋-GB2312" w:hAnsi="CESI仿宋-GB2312" w:eastAsia="CESI仿宋-GB2312"/>
          <w:color w:val="000000"/>
          <w:sz w:val="32"/>
          <w:szCs w:val="32"/>
          <w:highlight w:val="none"/>
          <w:lang w:eastAsia="zh-CN"/>
        </w:rPr>
        <w:t>，点击“耗材交易结算”模块，选择“</w:t>
      </w:r>
      <w:r>
        <w:rPr>
          <w:rFonts w:hint="eastAsia" w:ascii="CESI仿宋-GB2312" w:hAnsi="CESI仿宋-GB2312" w:eastAsia="CESI仿宋-GB2312"/>
          <w:color w:val="000000"/>
          <w:sz w:val="32"/>
          <w:szCs w:val="32"/>
          <w:highlight w:val="none"/>
          <w:lang w:val="en-US" w:eastAsia="zh-CN"/>
        </w:rPr>
        <w:t>目录查询</w:t>
      </w:r>
      <w:r>
        <w:rPr>
          <w:rFonts w:hint="eastAsia" w:ascii="CESI仿宋-GB2312" w:hAnsi="CESI仿宋-GB2312" w:eastAsia="CESI仿宋-GB2312" w:cs="CESI仿宋-GB2312"/>
          <w:color w:val="auto"/>
          <w:sz w:val="32"/>
          <w:szCs w:val="32"/>
          <w:highlight w:val="none"/>
          <w:lang w:eastAsia="zh-CN"/>
        </w:rPr>
        <w:t>”</w:t>
      </w:r>
      <w:r>
        <w:rPr>
          <w:rFonts w:hint="eastAsia" w:ascii="CESI仿宋-GB2312" w:hAnsi="CESI仿宋-GB2312" w:eastAsia="CESI仿宋-GB2312"/>
          <w:color w:val="000000"/>
          <w:sz w:val="32"/>
          <w:szCs w:val="32"/>
          <w:highlight w:val="none"/>
          <w:lang w:eastAsia="zh-CN"/>
        </w:rPr>
        <w:t>“上报配送企业</w:t>
      </w:r>
      <w:r>
        <w:rPr>
          <w:rFonts w:hint="eastAsia" w:ascii="CESI仿宋-GB2312" w:hAnsi="CESI仿宋-GB2312" w:eastAsia="CESI仿宋-GB2312"/>
          <w:color w:val="000000"/>
          <w:sz w:val="32"/>
          <w:szCs w:val="32"/>
          <w:highlight w:val="none"/>
          <w:lang w:val="en-US" w:eastAsia="zh-CN"/>
        </w:rPr>
        <w:t>查看</w:t>
      </w:r>
      <w:r>
        <w:rPr>
          <w:rFonts w:hint="eastAsia" w:ascii="CESI仿宋-GB2312" w:hAnsi="CESI仿宋-GB2312" w:eastAsia="CESI仿宋-GB2312"/>
          <w:color w:val="000000"/>
          <w:sz w:val="32"/>
          <w:szCs w:val="32"/>
          <w:highlight w:val="none"/>
          <w:lang w:eastAsia="zh-CN"/>
        </w:rPr>
        <w:t>”</w:t>
      </w:r>
      <w:r>
        <w:rPr>
          <w:rFonts w:hint="eastAsia" w:ascii="CESI仿宋-GB2312" w:hAnsi="CESI仿宋-GB2312" w:eastAsia="CESI仿宋-GB2312"/>
          <w:color w:val="000000"/>
          <w:sz w:val="32"/>
          <w:szCs w:val="32"/>
          <w:highlight w:val="none"/>
          <w:lang w:val="en-US" w:eastAsia="zh-CN"/>
        </w:rPr>
        <w:t xml:space="preserve"> </w:t>
      </w:r>
      <w:r>
        <w:rPr>
          <w:rFonts w:hint="eastAsia" w:ascii="CESI仿宋-GB2312" w:hAnsi="CESI仿宋-GB2312" w:eastAsia="CESI仿宋-GB2312" w:cs="CESI仿宋-GB2312"/>
          <w:color w:val="auto"/>
          <w:sz w:val="32"/>
          <w:szCs w:val="32"/>
          <w:highlight w:val="none"/>
          <w:lang w:eastAsia="zh-CN"/>
        </w:rPr>
        <w:t>菜单</w:t>
      </w:r>
      <w:r>
        <w:rPr>
          <w:rFonts w:hint="eastAsia" w:ascii="CESI仿宋-GB2312" w:hAnsi="CESI仿宋-GB2312" w:eastAsia="CESI仿宋-GB2312" w:cs="CESI仿宋-GB2312"/>
          <w:color w:val="auto"/>
          <w:sz w:val="32"/>
          <w:szCs w:val="32"/>
          <w:highlight w:val="none"/>
          <w:lang w:val="en-US" w:eastAsia="zh-CN"/>
        </w:rPr>
        <w:t>查询</w:t>
      </w:r>
      <w:r>
        <w:rPr>
          <w:rFonts w:hint="eastAsia" w:ascii="CESI仿宋-GB2312" w:hAnsi="CESI仿宋-GB2312" w:eastAsia="CESI仿宋-GB2312" w:cs="CESI仿宋-GB2312"/>
          <w:sz w:val="32"/>
          <w:szCs w:val="32"/>
          <w:highlight w:val="none"/>
        </w:rPr>
        <w:t>配送关系填报</w:t>
      </w:r>
      <w:r>
        <w:rPr>
          <w:rFonts w:hint="eastAsia" w:ascii="CESI仿宋-GB2312" w:hAnsi="CESI仿宋-GB2312" w:eastAsia="CESI仿宋-GB2312" w:cs="CESI仿宋-GB2312"/>
          <w:sz w:val="32"/>
          <w:szCs w:val="32"/>
          <w:highlight w:val="none"/>
          <w:lang w:val="en-US" w:eastAsia="zh-CN"/>
        </w:rPr>
        <w:t>情况，企业配送关系建</w:t>
      </w:r>
      <w:r>
        <w:rPr>
          <w:rFonts w:hint="eastAsia" w:ascii="CESI仿宋-GB2312" w:hAnsi="CESI仿宋-GB2312" w:eastAsia="CESI仿宋-GB2312" w:cs="CESI仿宋-GB2312"/>
          <w:color w:val="auto"/>
          <w:sz w:val="32"/>
          <w:szCs w:val="32"/>
          <w:highlight w:val="none"/>
          <w:lang w:val="en-US" w:eastAsia="zh-CN"/>
        </w:rPr>
        <w:t>立后可自行下载</w:t>
      </w:r>
      <w:r>
        <w:rPr>
          <w:rFonts w:hint="eastAsia" w:ascii="CESI仿宋-GB2312" w:hAnsi="CESI仿宋-GB2312" w:eastAsia="CESI仿宋-GB2312" w:cs="CESI仿宋-GB2312"/>
          <w:color w:val="auto"/>
          <w:sz w:val="32"/>
          <w:szCs w:val="32"/>
          <w:highlight w:val="none"/>
          <w:lang w:eastAsia="zh-CN"/>
        </w:rPr>
        <w:t>。</w:t>
      </w:r>
    </w:p>
    <w:p>
      <w:pPr>
        <w:pStyle w:val="10"/>
        <w:keepNext w:val="0"/>
        <w:keepLines w:val="0"/>
        <w:pageBreakBefore w:val="0"/>
        <w:numPr>
          <w:ilvl w:val="0"/>
          <w:numId w:val="0"/>
        </w:numPr>
        <w:kinsoku/>
        <w:wordWrap/>
        <w:overflowPunct/>
        <w:topLinePunct w:val="0"/>
        <w:bidi w:val="0"/>
        <w:snapToGrid/>
        <w:spacing w:line="540" w:lineRule="exact"/>
        <w:jc w:val="both"/>
        <w:textAlignment w:val="auto"/>
        <w:rPr>
          <w:rFonts w:hint="eastAsia" w:ascii="CESI仿宋-GB2312" w:hAnsi="CESI仿宋-GB2312" w:eastAsia="CESI仿宋-GB2312" w:cs="CESI仿宋-GB2312"/>
          <w:b/>
          <w:bCs/>
          <w:color w:val="FF0000"/>
          <w:sz w:val="32"/>
          <w:szCs w:val="32"/>
          <w:lang w:eastAsia="zh-CN"/>
        </w:rPr>
      </w:pPr>
    </w:p>
    <w:p>
      <w:pPr>
        <w:pStyle w:val="10"/>
        <w:keepNext w:val="0"/>
        <w:keepLines w:val="0"/>
        <w:pageBreakBefore w:val="0"/>
        <w:numPr>
          <w:ilvl w:val="0"/>
          <w:numId w:val="0"/>
        </w:numPr>
        <w:kinsoku/>
        <w:wordWrap/>
        <w:overflowPunct/>
        <w:topLinePunct w:val="0"/>
        <w:bidi w:val="0"/>
        <w:snapToGrid/>
        <w:spacing w:line="540" w:lineRule="exact"/>
        <w:jc w:val="both"/>
        <w:textAlignment w:val="auto"/>
        <w:rPr>
          <w:rFonts w:hint="eastAsia" w:ascii="CESI仿宋-GB2312" w:hAnsi="CESI仿宋-GB2312" w:eastAsia="CESI仿宋-GB2312" w:cs="CESI仿宋-GB2312"/>
          <w:b/>
          <w:bCs/>
          <w:color w:val="auto"/>
          <w:sz w:val="32"/>
          <w:szCs w:val="32"/>
          <w:lang w:eastAsia="zh-CN"/>
        </w:rPr>
      </w:pPr>
    </w:p>
    <w:p>
      <w:pPr>
        <w:pStyle w:val="10"/>
        <w:keepNext w:val="0"/>
        <w:keepLines w:val="0"/>
        <w:pageBreakBefore w:val="0"/>
        <w:numPr>
          <w:ilvl w:val="0"/>
          <w:numId w:val="0"/>
        </w:numPr>
        <w:kinsoku/>
        <w:wordWrap/>
        <w:overflowPunct/>
        <w:topLinePunct w:val="0"/>
        <w:bidi w:val="0"/>
        <w:snapToGrid/>
        <w:spacing w:line="540" w:lineRule="exact"/>
        <w:jc w:val="both"/>
        <w:textAlignment w:val="auto"/>
        <w:rPr>
          <w:rFonts w:hint="eastAsia" w:ascii="CESI仿宋-GB2312" w:hAnsi="CESI仿宋-GB2312" w:eastAsia="CESI仿宋-GB2312" w:cs="CESI仿宋-GB2312"/>
          <w:b/>
          <w:bCs/>
          <w:color w:val="auto"/>
          <w:sz w:val="32"/>
          <w:szCs w:val="32"/>
          <w:lang w:eastAsia="zh-CN"/>
        </w:rPr>
      </w:pPr>
    </w:p>
    <w:p>
      <w:pPr>
        <w:pStyle w:val="10"/>
        <w:keepNext w:val="0"/>
        <w:keepLines w:val="0"/>
        <w:pageBreakBefore w:val="0"/>
        <w:numPr>
          <w:ilvl w:val="0"/>
          <w:numId w:val="0"/>
        </w:numPr>
        <w:kinsoku/>
        <w:wordWrap/>
        <w:overflowPunct/>
        <w:topLinePunct w:val="0"/>
        <w:bidi w:val="0"/>
        <w:snapToGrid/>
        <w:spacing w:line="540" w:lineRule="exact"/>
        <w:jc w:val="both"/>
        <w:textAlignment w:val="auto"/>
        <w:rPr>
          <w:rFonts w:hint="eastAsia" w:ascii="CESI仿宋-GB2312" w:hAnsi="CESI仿宋-GB2312" w:eastAsia="CESI仿宋-GB2312" w:cs="CESI仿宋-GB2312"/>
          <w:b/>
          <w:bCs/>
          <w:color w:val="auto"/>
          <w:sz w:val="32"/>
          <w:szCs w:val="32"/>
          <w:lang w:eastAsia="zh-CN"/>
        </w:rPr>
      </w:pPr>
    </w:p>
    <w:p>
      <w:pPr>
        <w:pStyle w:val="10"/>
        <w:keepNext w:val="0"/>
        <w:keepLines w:val="0"/>
        <w:pageBreakBefore w:val="0"/>
        <w:numPr>
          <w:ilvl w:val="0"/>
          <w:numId w:val="0"/>
        </w:numPr>
        <w:kinsoku/>
        <w:wordWrap/>
        <w:overflowPunct/>
        <w:topLinePunct w:val="0"/>
        <w:bidi w:val="0"/>
        <w:snapToGrid/>
        <w:spacing w:line="540" w:lineRule="exact"/>
        <w:jc w:val="both"/>
        <w:textAlignment w:val="auto"/>
        <w:rPr>
          <w:rFonts w:hint="eastAsia" w:ascii="CESI仿宋-GB2312" w:hAnsi="CESI仿宋-GB2312" w:eastAsia="CESI仿宋-GB2312" w:cs="CESI仿宋-GB2312"/>
          <w:b/>
          <w:bCs/>
          <w:color w:val="auto"/>
          <w:sz w:val="32"/>
          <w:szCs w:val="32"/>
          <w:lang w:eastAsia="zh-CN"/>
        </w:rPr>
      </w:pPr>
    </w:p>
    <w:p>
      <w:pPr>
        <w:pStyle w:val="10"/>
        <w:keepNext w:val="0"/>
        <w:keepLines w:val="0"/>
        <w:pageBreakBefore w:val="0"/>
        <w:numPr>
          <w:ilvl w:val="0"/>
          <w:numId w:val="0"/>
        </w:numPr>
        <w:kinsoku/>
        <w:wordWrap/>
        <w:overflowPunct/>
        <w:topLinePunct w:val="0"/>
        <w:bidi w:val="0"/>
        <w:snapToGrid/>
        <w:spacing w:line="540" w:lineRule="exact"/>
        <w:jc w:val="both"/>
        <w:textAlignment w:val="auto"/>
        <w:rPr>
          <w:rFonts w:hint="eastAsia" w:ascii="CESI仿宋-GB2312" w:hAnsi="CESI仿宋-GB2312" w:eastAsia="CESI仿宋-GB2312" w:cs="CESI仿宋-GB2312"/>
          <w:b/>
          <w:bCs/>
          <w:color w:val="auto"/>
          <w:sz w:val="32"/>
          <w:szCs w:val="32"/>
          <w:lang w:eastAsia="zh-CN"/>
        </w:rPr>
      </w:pPr>
    </w:p>
    <w:p>
      <w:pPr>
        <w:pStyle w:val="10"/>
        <w:keepNext w:val="0"/>
        <w:keepLines w:val="0"/>
        <w:pageBreakBefore w:val="0"/>
        <w:numPr>
          <w:ilvl w:val="0"/>
          <w:numId w:val="0"/>
        </w:numPr>
        <w:kinsoku/>
        <w:wordWrap/>
        <w:overflowPunct/>
        <w:topLinePunct w:val="0"/>
        <w:bidi w:val="0"/>
        <w:snapToGrid/>
        <w:spacing w:line="540" w:lineRule="exact"/>
        <w:jc w:val="both"/>
        <w:textAlignment w:val="auto"/>
        <w:rPr>
          <w:rFonts w:hint="eastAsia" w:ascii="CESI仿宋-GB2312" w:hAnsi="CESI仿宋-GB2312" w:eastAsia="CESI仿宋-GB2312" w:cs="CESI仿宋-GB2312"/>
          <w:b/>
          <w:bCs/>
          <w:color w:val="auto"/>
          <w:sz w:val="32"/>
          <w:szCs w:val="32"/>
          <w:lang w:eastAsia="zh-CN"/>
        </w:rPr>
      </w:pPr>
    </w:p>
    <w:p>
      <w:pPr>
        <w:pStyle w:val="10"/>
        <w:keepNext w:val="0"/>
        <w:keepLines w:val="0"/>
        <w:pageBreakBefore w:val="0"/>
        <w:numPr>
          <w:ilvl w:val="0"/>
          <w:numId w:val="0"/>
        </w:numPr>
        <w:kinsoku/>
        <w:wordWrap/>
        <w:overflowPunct/>
        <w:topLinePunct w:val="0"/>
        <w:bidi w:val="0"/>
        <w:snapToGrid/>
        <w:spacing w:line="540" w:lineRule="exact"/>
        <w:jc w:val="both"/>
        <w:textAlignment w:val="auto"/>
        <w:rPr>
          <w:rFonts w:hint="eastAsia" w:ascii="CESI仿宋-GB2312" w:hAnsi="CESI仿宋-GB2312" w:eastAsia="CESI仿宋-GB2312" w:cs="CESI仿宋-GB2312"/>
          <w:b/>
          <w:bCs/>
          <w:color w:val="auto"/>
          <w:sz w:val="32"/>
          <w:szCs w:val="32"/>
          <w:lang w:eastAsia="zh-CN"/>
        </w:rPr>
      </w:pPr>
    </w:p>
    <w:p>
      <w:pPr>
        <w:pStyle w:val="10"/>
        <w:keepNext w:val="0"/>
        <w:keepLines w:val="0"/>
        <w:pageBreakBefore w:val="0"/>
        <w:numPr>
          <w:ilvl w:val="0"/>
          <w:numId w:val="0"/>
        </w:numPr>
        <w:kinsoku/>
        <w:wordWrap/>
        <w:overflowPunct/>
        <w:topLinePunct w:val="0"/>
        <w:bidi w:val="0"/>
        <w:snapToGrid/>
        <w:spacing w:line="540" w:lineRule="exact"/>
        <w:jc w:val="both"/>
        <w:textAlignment w:val="auto"/>
        <w:rPr>
          <w:rFonts w:hint="eastAsia" w:ascii="CESI仿宋-GB2312" w:hAnsi="CESI仿宋-GB2312" w:eastAsia="CESI仿宋-GB2312" w:cs="CESI仿宋-GB2312"/>
          <w:b/>
          <w:bCs/>
          <w:color w:val="auto"/>
          <w:sz w:val="32"/>
          <w:szCs w:val="32"/>
          <w:lang w:eastAsia="zh-CN"/>
        </w:rPr>
      </w:pPr>
    </w:p>
    <w:p>
      <w:pPr>
        <w:pStyle w:val="10"/>
        <w:keepNext w:val="0"/>
        <w:keepLines w:val="0"/>
        <w:pageBreakBefore w:val="0"/>
        <w:numPr>
          <w:ilvl w:val="0"/>
          <w:numId w:val="0"/>
        </w:numPr>
        <w:kinsoku/>
        <w:wordWrap/>
        <w:overflowPunct/>
        <w:topLinePunct w:val="0"/>
        <w:bidi w:val="0"/>
        <w:snapToGrid/>
        <w:spacing w:line="540" w:lineRule="exact"/>
        <w:jc w:val="both"/>
        <w:textAlignment w:val="auto"/>
        <w:rPr>
          <w:rFonts w:hint="eastAsia" w:ascii="方正黑体_GBK" w:hAnsi="方正黑体_GBK" w:eastAsia="方正黑体_GBK" w:cs="方正黑体_GBK"/>
          <w:b w:val="0"/>
          <w:bCs w:val="0"/>
          <w:color w:val="auto"/>
          <w:sz w:val="32"/>
          <w:szCs w:val="32"/>
          <w:lang w:eastAsia="zh-CN"/>
        </w:rPr>
      </w:pPr>
    </w:p>
    <w:p>
      <w:pPr>
        <w:pStyle w:val="10"/>
        <w:keepNext w:val="0"/>
        <w:keepLines w:val="0"/>
        <w:pageBreakBefore w:val="0"/>
        <w:numPr>
          <w:ilvl w:val="0"/>
          <w:numId w:val="0"/>
        </w:numPr>
        <w:kinsoku/>
        <w:wordWrap/>
        <w:overflowPunct/>
        <w:topLinePunct w:val="0"/>
        <w:bidi w:val="0"/>
        <w:snapToGrid/>
        <w:spacing w:line="540" w:lineRule="exact"/>
        <w:jc w:val="both"/>
        <w:textAlignment w:val="auto"/>
        <w:rPr>
          <w:rFonts w:hint="eastAsia"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eastAsia="zh-CN"/>
        </w:rPr>
        <w:t>附件</w:t>
      </w:r>
      <w:r>
        <w:rPr>
          <w:rFonts w:hint="eastAsia" w:ascii="方正黑体_GBK" w:hAnsi="方正黑体_GBK" w:eastAsia="方正黑体_GBK" w:cs="方正黑体_GBK"/>
          <w:b w:val="0"/>
          <w:bCs w:val="0"/>
          <w:color w:val="auto"/>
          <w:sz w:val="32"/>
          <w:szCs w:val="32"/>
          <w:lang w:val="en-US" w:eastAsia="zh-CN"/>
        </w:rPr>
        <w:t>2：</w:t>
      </w:r>
    </w:p>
    <w:p>
      <w:pPr>
        <w:pStyle w:val="10"/>
        <w:keepNext w:val="0"/>
        <w:keepLines w:val="0"/>
        <w:pageBreakBefore w:val="0"/>
        <w:numPr>
          <w:ilvl w:val="0"/>
          <w:numId w:val="0"/>
        </w:numPr>
        <w:kinsoku/>
        <w:wordWrap/>
        <w:overflowPunct/>
        <w:topLinePunct w:val="0"/>
        <w:bidi w:val="0"/>
        <w:snapToGrid/>
        <w:spacing w:line="540" w:lineRule="exact"/>
        <w:ind w:firstLine="1441" w:firstLineChars="400"/>
        <w:jc w:val="both"/>
        <w:textAlignment w:val="auto"/>
        <w:rPr>
          <w:rFonts w:hint="eastAsia" w:ascii="CESI仿宋-GB2312" w:hAnsi="CESI仿宋-GB2312" w:eastAsia="CESI仿宋-GB2312" w:cs="CESI仿宋-GB2312"/>
          <w:color w:val="auto"/>
          <w:sz w:val="36"/>
          <w:szCs w:val="36"/>
          <w:lang w:val="en-US" w:eastAsia="zh-CN"/>
        </w:rPr>
      </w:pPr>
      <w:r>
        <w:rPr>
          <w:rFonts w:hint="eastAsia" w:ascii="CESI仿宋-GB2312" w:hAnsi="CESI仿宋-GB2312" w:eastAsia="CESI仿宋-GB2312" w:cs="CESI仿宋-GB2312"/>
          <w:b/>
          <w:bCs/>
          <w:color w:val="auto"/>
          <w:sz w:val="36"/>
          <w:szCs w:val="36"/>
          <w:lang w:val="en-US" w:eastAsia="zh-CN"/>
        </w:rPr>
        <w:t>辽宁省医用耗材集中带量采购协议范本</w:t>
      </w:r>
    </w:p>
    <w:p>
      <w:pPr>
        <w:rPr>
          <w:rFonts w:hint="eastAsia" w:ascii="仿宋" w:hAnsi="仿宋" w:eastAsia="仿宋" w:cs="Times New Roman"/>
          <w:sz w:val="32"/>
          <w:szCs w:val="32"/>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Times New Roman"/>
          <w:sz w:val="30"/>
          <w:szCs w:val="30"/>
        </w:rPr>
      </w:pPr>
      <w:r>
        <w:rPr>
          <w:rFonts w:hint="eastAsia" w:ascii="仿宋" w:hAnsi="仿宋" w:eastAsia="仿宋" w:cs="Times New Roman"/>
          <w:sz w:val="30"/>
          <w:szCs w:val="30"/>
        </w:rPr>
        <w:t>甲方（医疗卫生机构）：</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Times New Roman"/>
          <w:sz w:val="30"/>
          <w:szCs w:val="30"/>
        </w:rPr>
      </w:pPr>
      <w:r>
        <w:rPr>
          <w:rFonts w:hint="eastAsia" w:ascii="仿宋" w:hAnsi="仿宋" w:eastAsia="仿宋" w:cs="Times New Roman"/>
          <w:sz w:val="30"/>
          <w:szCs w:val="30"/>
        </w:rPr>
        <w:t>法定代表人：</w:t>
      </w:r>
    </w:p>
    <w:p>
      <w:pPr>
        <w:keepNext w:val="0"/>
        <w:keepLines w:val="0"/>
        <w:pageBreakBefore w:val="0"/>
        <w:kinsoku/>
        <w:wordWrap/>
        <w:overflowPunct/>
        <w:topLinePunct w:val="0"/>
        <w:autoSpaceDE/>
        <w:autoSpaceDN/>
        <w:bidi w:val="0"/>
        <w:adjustRightInd/>
        <w:snapToGrid/>
        <w:spacing w:line="400" w:lineRule="exact"/>
        <w:textAlignment w:val="auto"/>
        <w:rPr>
          <w:rFonts w:ascii="仿宋" w:hAnsi="仿宋" w:eastAsia="仿宋" w:cs="Times New Roman"/>
          <w:sz w:val="30"/>
          <w:szCs w:val="30"/>
        </w:rPr>
      </w:pPr>
      <w:r>
        <w:rPr>
          <w:rFonts w:hint="eastAsia" w:ascii="仿宋" w:hAnsi="仿宋" w:eastAsia="仿宋" w:cs="Times New Roman"/>
          <w:sz w:val="30"/>
          <w:szCs w:val="30"/>
        </w:rPr>
        <w:t>注册地址：</w:t>
      </w:r>
      <w:r>
        <w:rPr>
          <w:rFonts w:hint="eastAsia" w:ascii="仿宋" w:hAnsi="仿宋" w:eastAsia="仿宋" w:cs="Times New Roman"/>
          <w:color w:val="000000"/>
          <w:sz w:val="30"/>
          <w:szCs w:val="30"/>
          <w:u w:val="single"/>
        </w:rPr>
        <w:t xml:space="preserve"> </w:t>
      </w:r>
      <w:r>
        <w:rPr>
          <w:rFonts w:hint="eastAsia" w:ascii="仿宋" w:hAnsi="仿宋" w:eastAsia="仿宋" w:cs="Times New Roman"/>
          <w:color w:val="000000"/>
          <w:sz w:val="30"/>
          <w:szCs w:val="30"/>
          <w:u w:val="single"/>
          <w:lang w:val="en-US" w:eastAsia="zh-CN"/>
        </w:rPr>
        <w:t xml:space="preserve">                    </w:t>
      </w:r>
      <w:r>
        <w:rPr>
          <w:rFonts w:hint="eastAsia" w:ascii="仿宋" w:hAnsi="仿宋" w:eastAsia="仿宋" w:cs="Times New Roman"/>
          <w:color w:val="000000"/>
          <w:sz w:val="30"/>
          <w:szCs w:val="30"/>
          <w:u w:val="single"/>
        </w:rPr>
        <w:t xml:space="preserve">    </w:t>
      </w:r>
    </w:p>
    <w:p>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p>
    <w:p>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Times New Roman"/>
          <w:sz w:val="30"/>
          <w:szCs w:val="30"/>
        </w:rPr>
      </w:pPr>
      <w:r>
        <w:rPr>
          <w:rFonts w:hint="eastAsia" w:ascii="仿宋" w:hAnsi="仿宋" w:eastAsia="仿宋" w:cs="Times New Roman"/>
          <w:sz w:val="30"/>
          <w:szCs w:val="30"/>
        </w:rPr>
        <w:t>乙方（医用耗材</w:t>
      </w:r>
      <w:r>
        <w:rPr>
          <w:rFonts w:hint="eastAsia" w:ascii="仿宋" w:hAnsi="仿宋" w:eastAsia="仿宋" w:cs="Times New Roman"/>
          <w:sz w:val="30"/>
          <w:szCs w:val="30"/>
          <w:lang w:eastAsia="zh-CN"/>
        </w:rPr>
        <w:t>生产或委托</w:t>
      </w:r>
      <w:r>
        <w:rPr>
          <w:rFonts w:hint="eastAsia" w:ascii="仿宋" w:hAnsi="仿宋" w:eastAsia="仿宋" w:cs="Times New Roman"/>
          <w:sz w:val="30"/>
          <w:szCs w:val="30"/>
        </w:rPr>
        <w:t>配送企业）:</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Times New Roman"/>
          <w:sz w:val="30"/>
          <w:szCs w:val="30"/>
        </w:rPr>
      </w:pPr>
      <w:r>
        <w:rPr>
          <w:rFonts w:hint="eastAsia" w:ascii="仿宋" w:hAnsi="仿宋" w:eastAsia="仿宋" w:cs="Times New Roman"/>
          <w:sz w:val="30"/>
          <w:szCs w:val="30"/>
        </w:rPr>
        <w:t xml:space="preserve">法定代表人： </w:t>
      </w:r>
    </w:p>
    <w:p>
      <w:pPr>
        <w:keepNext w:val="0"/>
        <w:keepLines w:val="0"/>
        <w:pageBreakBefore w:val="0"/>
        <w:kinsoku/>
        <w:wordWrap/>
        <w:overflowPunct/>
        <w:topLinePunct w:val="0"/>
        <w:autoSpaceDE/>
        <w:autoSpaceDN/>
        <w:bidi w:val="0"/>
        <w:adjustRightInd/>
        <w:snapToGrid/>
        <w:spacing w:line="400" w:lineRule="exact"/>
        <w:textAlignment w:val="auto"/>
        <w:rPr>
          <w:rFonts w:ascii="仿宋" w:hAnsi="仿宋" w:eastAsia="仿宋" w:cs="仿宋"/>
          <w:color w:val="434242"/>
          <w:kern w:val="0"/>
          <w:sz w:val="30"/>
          <w:szCs w:val="30"/>
        </w:rPr>
      </w:pPr>
      <w:r>
        <w:rPr>
          <w:rFonts w:hint="eastAsia" w:ascii="仿宋" w:hAnsi="仿宋" w:eastAsia="仿宋" w:cs="Times New Roman"/>
          <w:sz w:val="30"/>
          <w:szCs w:val="30"/>
        </w:rPr>
        <w:t>注册地址</w:t>
      </w:r>
      <w:r>
        <w:rPr>
          <w:rFonts w:hint="eastAsia" w:ascii="仿宋" w:hAnsi="仿宋" w:eastAsia="仿宋" w:cs="仿宋"/>
          <w:color w:val="434242"/>
          <w:kern w:val="0"/>
          <w:sz w:val="30"/>
          <w:szCs w:val="30"/>
        </w:rPr>
        <w:t>：</w:t>
      </w:r>
      <w:r>
        <w:rPr>
          <w:rFonts w:hint="eastAsia" w:ascii="仿宋" w:hAnsi="仿宋" w:eastAsia="仿宋" w:cs="Times New Roman"/>
          <w:color w:val="000000"/>
          <w:sz w:val="30"/>
          <w:szCs w:val="30"/>
          <w:u w:val="single"/>
        </w:rPr>
        <w:t xml:space="preserve"> </w:t>
      </w:r>
      <w:r>
        <w:rPr>
          <w:rFonts w:hint="eastAsia" w:ascii="仿宋" w:hAnsi="仿宋" w:eastAsia="仿宋" w:cs="Times New Roman"/>
          <w:color w:val="000000"/>
          <w:sz w:val="30"/>
          <w:szCs w:val="30"/>
          <w:u w:val="single"/>
          <w:lang w:val="en-US" w:eastAsia="zh-CN"/>
        </w:rPr>
        <w:t xml:space="preserve">                       </w:t>
      </w:r>
      <w:r>
        <w:rPr>
          <w:rFonts w:hint="eastAsia" w:ascii="仿宋" w:hAnsi="仿宋" w:eastAsia="仿宋" w:cs="Times New Roman"/>
          <w:color w:val="000000"/>
          <w:sz w:val="30"/>
          <w:szCs w:val="30"/>
          <w:u w:val="single"/>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jc w:val="left"/>
        <w:textAlignment w:val="auto"/>
        <w:rPr>
          <w:rFonts w:ascii="宋体" w:hAnsi="宋体" w:eastAsia="宋体" w:cs="宋体"/>
          <w:color w:val="434242"/>
          <w:kern w:val="0"/>
          <w:sz w:val="30"/>
          <w:szCs w:val="30"/>
        </w:rPr>
      </w:pPr>
      <w:r>
        <w:rPr>
          <w:rFonts w:hint="eastAsia" w:ascii="宋体" w:hAnsi="宋体" w:eastAsia="宋体" w:cs="宋体"/>
          <w:color w:val="434242"/>
          <w:kern w:val="0"/>
          <w:sz w:val="30"/>
          <w:szCs w:val="30"/>
        </w:rPr>
        <w:t xml:space="preserve"> </w:t>
      </w:r>
    </w:p>
    <w:p>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甲、乙双方依据《中华人民共和国民法典》</w:t>
      </w:r>
      <w:bookmarkStart w:id="0" w:name="_Hlk114232284"/>
      <w:r>
        <w:rPr>
          <w:rFonts w:hint="eastAsia" w:ascii="仿宋" w:hAnsi="仿宋" w:eastAsia="仿宋" w:cs="Times New Roman"/>
          <w:sz w:val="30"/>
          <w:szCs w:val="30"/>
        </w:rPr>
        <w:t>、</w:t>
      </w:r>
      <w:bookmarkEnd w:id="0"/>
      <w:r>
        <w:rPr>
          <w:rFonts w:hint="eastAsia" w:ascii="仿宋" w:hAnsi="仿宋" w:eastAsia="仿宋" w:cs="Times New Roman"/>
          <w:sz w:val="30"/>
          <w:szCs w:val="30"/>
        </w:rPr>
        <w:t>《医疗器械监督管理条例》、《医疗器械生产监督管理办法》、《医疗器械生产质量管理规范》、《医疗器械经营监督管理办法》、《医疗器械经营质量管理规范》</w:t>
      </w:r>
      <w:r>
        <w:rPr>
          <w:rFonts w:hint="eastAsia" w:ascii="仿宋" w:hAnsi="仿宋" w:eastAsia="仿宋" w:cs="Times New Roman"/>
          <w:sz w:val="30"/>
          <w:szCs w:val="30"/>
          <w:lang w:eastAsia="zh-CN"/>
        </w:rPr>
        <w:t>、</w:t>
      </w:r>
      <w:r>
        <w:rPr>
          <w:rFonts w:hint="eastAsia" w:ascii="仿宋" w:hAnsi="仿宋" w:eastAsia="仿宋" w:cs="Times New Roman"/>
          <w:color w:val="auto"/>
          <w:sz w:val="30"/>
          <w:szCs w:val="30"/>
        </w:rPr>
        <w:t>国家和省际联盟</w:t>
      </w:r>
      <w:r>
        <w:rPr>
          <w:rFonts w:hint="eastAsia" w:ascii="仿宋" w:hAnsi="仿宋" w:eastAsia="仿宋" w:cs="Times New Roman"/>
          <w:color w:val="auto"/>
          <w:sz w:val="30"/>
          <w:szCs w:val="30"/>
          <w:lang w:eastAsia="zh-CN"/>
        </w:rPr>
        <w:t>相关</w:t>
      </w:r>
      <w:r>
        <w:rPr>
          <w:rFonts w:hint="eastAsia" w:ascii="仿宋" w:hAnsi="仿宋" w:eastAsia="仿宋" w:cs="Times New Roman"/>
          <w:color w:val="auto"/>
          <w:sz w:val="30"/>
          <w:szCs w:val="30"/>
        </w:rPr>
        <w:t>《医用耗材带量采购文件》</w:t>
      </w:r>
      <w:r>
        <w:rPr>
          <w:rFonts w:hint="eastAsia" w:ascii="仿宋" w:hAnsi="仿宋" w:eastAsia="仿宋" w:cs="Times New Roman"/>
          <w:color w:val="auto"/>
          <w:sz w:val="30"/>
          <w:szCs w:val="30"/>
          <w:lang w:eastAsia="zh-CN"/>
        </w:rPr>
        <w:t>以及</w:t>
      </w:r>
      <w:r>
        <w:rPr>
          <w:rFonts w:hint="eastAsia" w:ascii="仿宋" w:hAnsi="仿宋" w:eastAsia="仿宋" w:cs="Times New Roman"/>
          <w:color w:val="auto"/>
          <w:sz w:val="30"/>
          <w:szCs w:val="30"/>
        </w:rPr>
        <w:t>辽宁省医用耗材集中采购、</w:t>
      </w:r>
      <w:r>
        <w:rPr>
          <w:rFonts w:hint="eastAsia" w:ascii="仿宋" w:hAnsi="仿宋" w:eastAsia="仿宋" w:cs="Times New Roman"/>
          <w:sz w:val="30"/>
          <w:szCs w:val="30"/>
        </w:rPr>
        <w:t>配送</w:t>
      </w:r>
      <w:r>
        <w:rPr>
          <w:rFonts w:hint="eastAsia" w:ascii="仿宋" w:hAnsi="仿宋" w:eastAsia="仿宋" w:cs="Times New Roman"/>
          <w:color w:val="000000"/>
          <w:sz w:val="30"/>
          <w:szCs w:val="30"/>
        </w:rPr>
        <w:t>的相关规定，</w:t>
      </w:r>
      <w:r>
        <w:rPr>
          <w:rFonts w:hint="eastAsia" w:ascii="仿宋" w:hAnsi="仿宋" w:eastAsia="仿宋" w:cs="Times New Roman"/>
          <w:sz w:val="30"/>
          <w:szCs w:val="30"/>
        </w:rPr>
        <w:t>现甲、乙双方在平等、自愿、诚信的基础上，签订本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黑体" w:hAnsi="黑体" w:eastAsia="黑体" w:cs="黑体"/>
          <w:sz w:val="30"/>
          <w:szCs w:val="30"/>
        </w:rPr>
        <w:t xml:space="preserve">第一条 </w:t>
      </w:r>
      <w:r>
        <w:rPr>
          <w:rFonts w:hint="eastAsia" w:ascii="黑体" w:hAnsi="黑体" w:eastAsia="黑体" w:cs="黑体"/>
          <w:sz w:val="30"/>
          <w:szCs w:val="30"/>
          <w:lang w:eastAsia="zh-CN"/>
        </w:rPr>
        <w:t>协议</w:t>
      </w:r>
      <w:r>
        <w:rPr>
          <w:rFonts w:hint="eastAsia" w:ascii="黑体" w:hAnsi="黑体" w:eastAsia="黑体" w:cs="黑体"/>
          <w:sz w:val="30"/>
          <w:szCs w:val="30"/>
        </w:rPr>
        <w:t>期限</w:t>
      </w:r>
      <w:r>
        <w:rPr>
          <w:rFonts w:hint="eastAsia" w:ascii="仿宋" w:hAnsi="仿宋" w:eastAsia="仿宋" w:cs="Times New Roman"/>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有效期限：</w:t>
      </w:r>
      <w:r>
        <w:rPr>
          <w:rFonts w:hint="eastAsia" w:ascii="仿宋" w:hAnsi="仿宋" w:eastAsia="仿宋" w:cs="Times New Roman"/>
          <w:color w:val="000000"/>
          <w:sz w:val="30"/>
          <w:szCs w:val="30"/>
        </w:rPr>
        <w:t>自     年  月   日起至     年  月  日止。</w:t>
      </w:r>
      <w:r>
        <w:rPr>
          <w:rFonts w:hint="eastAsia" w:ascii="仿宋" w:hAnsi="仿宋" w:eastAsia="仿宋" w:cs="Times New Roman"/>
          <w:sz w:val="30"/>
          <w:szCs w:val="30"/>
        </w:rPr>
        <w:t>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终止不影响</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有效期内已发生业务往来的执行。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黑体" w:hAnsi="黑体" w:eastAsia="黑体" w:cs="黑体"/>
          <w:sz w:val="30"/>
          <w:szCs w:val="30"/>
        </w:rPr>
      </w:pPr>
      <w:r>
        <w:rPr>
          <w:rFonts w:hint="eastAsia" w:ascii="黑体" w:hAnsi="黑体" w:eastAsia="黑体" w:cs="黑体"/>
          <w:sz w:val="30"/>
          <w:szCs w:val="30"/>
        </w:rPr>
        <w:t xml:space="preserve">第二条 双方关系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2.1 甲方为参与联盟地区（</w:t>
      </w:r>
      <w:r>
        <w:rPr>
          <w:rFonts w:ascii="仿宋" w:hAnsi="仿宋" w:eastAsia="仿宋" w:cs="Times New Roman"/>
          <w:sz w:val="30"/>
          <w:szCs w:val="30"/>
        </w:rPr>
        <w:t>辽宁省）</w:t>
      </w:r>
      <w:r>
        <w:rPr>
          <w:rFonts w:hint="eastAsia" w:ascii="仿宋" w:hAnsi="仿宋" w:eastAsia="仿宋" w:cs="Times New Roman"/>
          <w:sz w:val="30"/>
          <w:szCs w:val="30"/>
        </w:rPr>
        <w:t>医用耗材集中采购的医疗卫生机构，乙方为联盟地区（</w:t>
      </w:r>
      <w:r>
        <w:rPr>
          <w:rFonts w:ascii="仿宋" w:hAnsi="仿宋" w:eastAsia="仿宋" w:cs="Times New Roman"/>
          <w:sz w:val="30"/>
          <w:szCs w:val="30"/>
        </w:rPr>
        <w:t>辽宁省）</w:t>
      </w:r>
      <w:r>
        <w:rPr>
          <w:rFonts w:hint="eastAsia" w:ascii="仿宋" w:hAnsi="仿宋" w:eastAsia="仿宋" w:cs="Times New Roman"/>
          <w:sz w:val="30"/>
          <w:szCs w:val="30"/>
        </w:rPr>
        <w:t>医用耗材集中采购中选产品</w:t>
      </w:r>
      <w:r>
        <w:rPr>
          <w:rFonts w:ascii="仿宋" w:hAnsi="仿宋" w:eastAsia="仿宋" w:cs="Times New Roman"/>
          <w:sz w:val="30"/>
          <w:szCs w:val="30"/>
        </w:rPr>
        <w:t>的</w:t>
      </w:r>
      <w:r>
        <w:rPr>
          <w:rFonts w:hint="eastAsia" w:ascii="仿宋" w:hAnsi="仿宋" w:eastAsia="仿宋" w:cs="Times New Roman"/>
          <w:sz w:val="30"/>
          <w:szCs w:val="30"/>
        </w:rPr>
        <w:t xml:space="preserve">医用耗材生产企业或其委托的配送企业。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2.2 在本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有效期内，甲、乙双方之间的医用耗材购销行为以及因此而产生的其他关系均受本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约束。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黑体" w:hAnsi="黑体" w:eastAsia="黑体" w:cs="黑体"/>
          <w:sz w:val="30"/>
          <w:szCs w:val="30"/>
        </w:rPr>
        <w:t>第三条 资质</w:t>
      </w:r>
      <w:r>
        <w:rPr>
          <w:rFonts w:hint="eastAsia" w:ascii="仿宋" w:hAnsi="仿宋" w:eastAsia="仿宋" w:cs="Times New Roman"/>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3.1 乙方提供企业和产品资质以参与联盟地区医用耗材集中采购所提供的材料为准。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Times New Roman"/>
          <w:sz w:val="30"/>
          <w:szCs w:val="30"/>
        </w:rPr>
      </w:pPr>
      <w:r>
        <w:rPr>
          <w:rFonts w:hint="eastAsia" w:ascii="仿宋" w:hAnsi="仿宋" w:eastAsia="仿宋" w:cs="Times New Roman"/>
          <w:sz w:val="30"/>
          <w:szCs w:val="30"/>
        </w:rPr>
        <w:t>3.2 在本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履行期间，如遇乙方上述证书换发，乙方应在证书换发后的10个工作日内向甲方所在省级药品和医用耗材集中采购机构更新材料，否则视为违约处理。</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b w:val="0"/>
          <w:bCs w:val="0"/>
          <w:color w:val="auto"/>
          <w:sz w:val="30"/>
          <w:szCs w:val="30"/>
        </w:rPr>
      </w:pPr>
      <w:r>
        <w:rPr>
          <w:rFonts w:hint="eastAsia" w:ascii="仿宋" w:hAnsi="仿宋" w:eastAsia="仿宋" w:cs="Times New Roman"/>
          <w:b w:val="0"/>
          <w:bCs w:val="0"/>
          <w:color w:val="auto"/>
          <w:sz w:val="30"/>
          <w:szCs w:val="30"/>
          <w:lang w:val="en-US" w:eastAsia="zh-CN"/>
        </w:rPr>
        <w:t>3.3乙方应按照甲方要求提供相关资质证明复印件并加盖公章。</w:t>
      </w:r>
    </w:p>
    <w:p>
      <w:pPr>
        <w:keepNext w:val="0"/>
        <w:keepLines w:val="0"/>
        <w:pageBreakBefore w:val="0"/>
        <w:numPr>
          <w:ilvl w:val="0"/>
          <w:numId w:val="1"/>
        </w:numPr>
        <w:kinsoku/>
        <w:wordWrap/>
        <w:overflowPunct/>
        <w:topLinePunct w:val="0"/>
        <w:autoSpaceDE/>
        <w:autoSpaceDN/>
        <w:bidi w:val="0"/>
        <w:adjustRightInd/>
        <w:snapToGrid/>
        <w:spacing w:line="400" w:lineRule="exact"/>
        <w:ind w:firstLine="600" w:firstLineChars="200"/>
        <w:textAlignment w:val="auto"/>
        <w:rPr>
          <w:rFonts w:hint="eastAsia" w:ascii="黑体" w:hAnsi="黑体" w:eastAsia="黑体" w:cs="黑体"/>
          <w:color w:val="auto"/>
          <w:sz w:val="30"/>
          <w:szCs w:val="30"/>
        </w:rPr>
      </w:pPr>
      <w:r>
        <w:rPr>
          <w:rFonts w:hint="eastAsia" w:ascii="黑体" w:hAnsi="黑体" w:eastAsia="黑体" w:cs="黑体"/>
          <w:color w:val="auto"/>
          <w:sz w:val="30"/>
          <w:szCs w:val="30"/>
          <w:lang w:val="en-US" w:eastAsia="zh-CN"/>
        </w:rPr>
        <w:t>产品名称、规格及</w:t>
      </w:r>
      <w:r>
        <w:rPr>
          <w:rFonts w:hint="eastAsia" w:ascii="黑体" w:hAnsi="黑体" w:eastAsia="黑体" w:cs="黑体"/>
          <w:color w:val="auto"/>
          <w:sz w:val="30"/>
          <w:szCs w:val="30"/>
        </w:rPr>
        <w:t xml:space="preserve">价格 </w:t>
      </w:r>
    </w:p>
    <w:p>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ascii="仿宋" w:hAnsi="仿宋" w:eastAsia="仿宋" w:cs="Times New Roman"/>
          <w:color w:val="auto"/>
          <w:sz w:val="30"/>
          <w:szCs w:val="30"/>
        </w:rPr>
      </w:pPr>
      <w:r>
        <w:rPr>
          <w:rFonts w:hint="eastAsia" w:ascii="仿宋" w:hAnsi="仿宋" w:eastAsia="仿宋" w:cs="Times New Roman"/>
          <w:color w:val="auto"/>
          <w:sz w:val="30"/>
          <w:szCs w:val="30"/>
          <w:lang w:val="en-US" w:eastAsia="zh-CN"/>
        </w:rPr>
        <w:t xml:space="preserve">    4.</w:t>
      </w:r>
      <w:r>
        <w:rPr>
          <w:rFonts w:hint="eastAsia" w:ascii="仿宋" w:hAnsi="仿宋" w:eastAsia="仿宋" w:cs="Times New Roman"/>
          <w:color w:val="auto"/>
          <w:sz w:val="30"/>
          <w:szCs w:val="30"/>
        </w:rPr>
        <w:t>1医用耗材名称：</w:t>
      </w:r>
    </w:p>
    <w:p>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Times New Roman"/>
          <w:color w:val="auto"/>
          <w:sz w:val="30"/>
          <w:szCs w:val="30"/>
        </w:rPr>
      </w:pPr>
      <w:r>
        <w:rPr>
          <w:rFonts w:hint="eastAsia" w:ascii="仿宋" w:hAnsi="仿宋" w:eastAsia="仿宋" w:cs="Times New Roman"/>
          <w:color w:val="auto"/>
          <w:sz w:val="30"/>
          <w:szCs w:val="30"/>
          <w:lang w:val="en-US" w:eastAsia="zh-CN"/>
        </w:rPr>
        <w:t>4.</w:t>
      </w:r>
      <w:r>
        <w:rPr>
          <w:rFonts w:hint="eastAsia" w:ascii="仿宋" w:hAnsi="仿宋" w:eastAsia="仿宋" w:cs="Times New Roman"/>
          <w:color w:val="auto"/>
          <w:sz w:val="30"/>
          <w:szCs w:val="30"/>
        </w:rPr>
        <w:t>2规格包装：</w:t>
      </w:r>
    </w:p>
    <w:p>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Times New Roman"/>
          <w:color w:val="auto"/>
          <w:sz w:val="30"/>
          <w:szCs w:val="30"/>
        </w:rPr>
      </w:pPr>
      <w:r>
        <w:rPr>
          <w:rFonts w:hint="eastAsia" w:ascii="仿宋" w:hAnsi="仿宋" w:eastAsia="仿宋" w:cs="Times New Roman"/>
          <w:color w:val="auto"/>
          <w:sz w:val="30"/>
          <w:szCs w:val="30"/>
          <w:lang w:val="en-US" w:eastAsia="zh-CN"/>
        </w:rPr>
        <w:t>4.</w:t>
      </w:r>
      <w:r>
        <w:rPr>
          <w:rFonts w:hint="eastAsia" w:ascii="仿宋" w:hAnsi="仿宋" w:eastAsia="仿宋" w:cs="Times New Roman"/>
          <w:color w:val="auto"/>
          <w:sz w:val="30"/>
          <w:szCs w:val="30"/>
        </w:rPr>
        <w:t>3生产企业：</w:t>
      </w:r>
    </w:p>
    <w:p>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Times New Roman"/>
          <w:color w:val="auto"/>
          <w:sz w:val="30"/>
          <w:szCs w:val="30"/>
        </w:rPr>
      </w:pPr>
      <w:r>
        <w:rPr>
          <w:rFonts w:hint="eastAsia" w:ascii="仿宋" w:hAnsi="仿宋" w:eastAsia="仿宋" w:cs="Times New Roman"/>
          <w:color w:val="auto"/>
          <w:sz w:val="30"/>
          <w:szCs w:val="30"/>
        </w:rPr>
        <w:t>4.</w:t>
      </w:r>
      <w:r>
        <w:rPr>
          <w:rFonts w:hint="eastAsia" w:ascii="仿宋" w:hAnsi="仿宋" w:eastAsia="仿宋" w:cs="Times New Roman"/>
          <w:color w:val="auto"/>
          <w:sz w:val="30"/>
          <w:szCs w:val="30"/>
          <w:lang w:val="en-US" w:eastAsia="zh-CN"/>
        </w:rPr>
        <w:t>4</w:t>
      </w:r>
      <w:r>
        <w:rPr>
          <w:rFonts w:hint="eastAsia" w:ascii="仿宋" w:hAnsi="仿宋" w:eastAsia="仿宋" w:cs="Times New Roman"/>
          <w:color w:val="auto"/>
          <w:sz w:val="30"/>
          <w:szCs w:val="30"/>
        </w:rPr>
        <w:t>中选价（元）：</w:t>
      </w:r>
    </w:p>
    <w:p>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color w:val="auto"/>
          <w:sz w:val="30"/>
          <w:szCs w:val="30"/>
        </w:rPr>
      </w:pPr>
      <w:r>
        <w:rPr>
          <w:rFonts w:hint="eastAsia" w:ascii="仿宋" w:hAnsi="仿宋" w:eastAsia="仿宋" w:cs="Times New Roman"/>
          <w:color w:val="auto"/>
          <w:sz w:val="30"/>
          <w:szCs w:val="30"/>
          <w:lang w:val="en-US" w:eastAsia="zh-CN"/>
        </w:rPr>
        <w:t>4.</w:t>
      </w:r>
      <w:r>
        <w:rPr>
          <w:rFonts w:hint="eastAsia" w:ascii="仿宋" w:hAnsi="仿宋" w:eastAsia="仿宋" w:cs="Times New Roman"/>
          <w:color w:val="auto"/>
          <w:sz w:val="30"/>
          <w:szCs w:val="30"/>
        </w:rPr>
        <w:t>5医用耗材挂网编号：</w:t>
      </w:r>
    </w:p>
    <w:p>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Times New Roman"/>
          <w:color w:val="auto"/>
          <w:sz w:val="30"/>
          <w:szCs w:val="30"/>
        </w:rPr>
      </w:pPr>
      <w:r>
        <w:rPr>
          <w:rFonts w:hint="eastAsia" w:ascii="仿宋" w:hAnsi="仿宋" w:eastAsia="仿宋" w:cs="Times New Roman"/>
          <w:color w:val="auto"/>
          <w:sz w:val="30"/>
          <w:szCs w:val="30"/>
          <w:lang w:val="en-US" w:eastAsia="zh-CN"/>
        </w:rPr>
        <w:t>4.</w:t>
      </w:r>
      <w:r>
        <w:rPr>
          <w:rFonts w:hint="eastAsia" w:ascii="仿宋" w:hAnsi="仿宋" w:eastAsia="仿宋" w:cs="Times New Roman"/>
          <w:color w:val="auto"/>
          <w:sz w:val="30"/>
          <w:szCs w:val="30"/>
        </w:rPr>
        <w:t>6医用耗材批准文号(注册证号)：</w:t>
      </w:r>
    </w:p>
    <w:p>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Times New Roman"/>
          <w:color w:val="auto"/>
          <w:sz w:val="30"/>
          <w:szCs w:val="30"/>
        </w:rPr>
      </w:pPr>
      <w:r>
        <w:rPr>
          <w:rFonts w:hint="eastAsia" w:ascii="仿宋" w:hAnsi="仿宋" w:eastAsia="仿宋" w:cs="Times New Roman"/>
          <w:color w:val="auto"/>
          <w:sz w:val="30"/>
          <w:szCs w:val="30"/>
          <w:lang w:val="en-US" w:eastAsia="zh-CN"/>
        </w:rPr>
        <w:t>4.</w:t>
      </w:r>
      <w:r>
        <w:rPr>
          <w:rFonts w:hint="eastAsia" w:ascii="仿宋" w:hAnsi="仿宋" w:eastAsia="仿宋" w:cs="Times New Roman"/>
          <w:color w:val="auto"/>
          <w:sz w:val="30"/>
          <w:szCs w:val="30"/>
        </w:rPr>
        <w:t>7年度约定采购量：</w:t>
      </w:r>
    </w:p>
    <w:p>
      <w:pPr>
        <w:keepNext w:val="0"/>
        <w:keepLines w:val="0"/>
        <w:pageBreakBefore w:val="0"/>
        <w:kinsoku/>
        <w:wordWrap/>
        <w:overflowPunct/>
        <w:topLinePunct w:val="0"/>
        <w:autoSpaceDE/>
        <w:autoSpaceDN/>
        <w:bidi w:val="0"/>
        <w:adjustRightInd/>
        <w:snapToGrid/>
        <w:spacing w:line="400" w:lineRule="exact"/>
        <w:ind w:firstLine="600" w:firstLineChars="200"/>
        <w:textAlignment w:val="auto"/>
        <w:rPr>
          <w:rFonts w:ascii="黑体" w:hAnsi="黑体" w:eastAsia="黑体" w:cs="黑体"/>
          <w:color w:val="auto"/>
          <w:sz w:val="30"/>
          <w:szCs w:val="30"/>
        </w:rPr>
      </w:pPr>
      <w:r>
        <w:rPr>
          <w:rFonts w:hint="eastAsia" w:ascii="仿宋" w:hAnsi="仿宋" w:eastAsia="仿宋" w:cs="Times New Roman"/>
          <w:color w:val="auto"/>
          <w:sz w:val="30"/>
          <w:szCs w:val="30"/>
          <w:lang w:val="en-US" w:eastAsia="zh-CN"/>
        </w:rPr>
        <w:t>4.</w:t>
      </w:r>
      <w:r>
        <w:rPr>
          <w:rFonts w:hint="eastAsia" w:ascii="仿宋" w:hAnsi="仿宋" w:eastAsia="仿宋" w:cs="Times New Roman"/>
          <w:color w:val="auto"/>
          <w:sz w:val="30"/>
          <w:szCs w:val="30"/>
        </w:rPr>
        <w:t xml:space="preserve">8年度预计采购金额（元）：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color w:val="auto"/>
          <w:sz w:val="30"/>
          <w:szCs w:val="30"/>
        </w:rPr>
      </w:pPr>
      <w:r>
        <w:rPr>
          <w:rFonts w:hint="eastAsia" w:ascii="仿宋" w:hAnsi="仿宋" w:eastAsia="仿宋" w:cs="Times New Roman"/>
          <w:color w:val="auto"/>
          <w:sz w:val="30"/>
          <w:szCs w:val="30"/>
        </w:rPr>
        <w:t>4.</w:t>
      </w:r>
      <w:r>
        <w:rPr>
          <w:rFonts w:hint="eastAsia" w:ascii="仿宋" w:hAnsi="仿宋" w:eastAsia="仿宋" w:cs="Times New Roman"/>
          <w:color w:val="auto"/>
          <w:sz w:val="30"/>
          <w:szCs w:val="30"/>
          <w:lang w:val="en-US" w:eastAsia="zh-CN"/>
        </w:rPr>
        <w:t>9</w:t>
      </w:r>
      <w:r>
        <w:rPr>
          <w:rFonts w:hint="eastAsia" w:ascii="仿宋" w:hAnsi="仿宋" w:eastAsia="仿宋" w:cs="Times New Roman"/>
          <w:color w:val="auto"/>
          <w:sz w:val="30"/>
          <w:szCs w:val="30"/>
        </w:rPr>
        <w:t xml:space="preserve">乙方应以联盟地区（辽宁省）医用耗材采购结果中选医用耗材的价格向甲方配送医用耗材。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color w:val="auto"/>
          <w:sz w:val="30"/>
          <w:szCs w:val="30"/>
        </w:rPr>
        <w:t>4.</w:t>
      </w:r>
      <w:r>
        <w:rPr>
          <w:rFonts w:hint="eastAsia" w:ascii="仿宋" w:hAnsi="仿宋" w:eastAsia="仿宋" w:cs="Times New Roman"/>
          <w:color w:val="auto"/>
          <w:sz w:val="30"/>
          <w:szCs w:val="30"/>
          <w:lang w:val="en-US" w:eastAsia="zh-CN"/>
        </w:rPr>
        <w:t>10</w:t>
      </w:r>
      <w:r>
        <w:rPr>
          <w:rFonts w:hint="eastAsia" w:ascii="仿宋" w:hAnsi="仿宋" w:eastAsia="仿宋" w:cs="Times New Roman"/>
          <w:color w:val="auto"/>
          <w:sz w:val="30"/>
          <w:szCs w:val="30"/>
        </w:rPr>
        <w:t>在本</w:t>
      </w:r>
      <w:r>
        <w:rPr>
          <w:rFonts w:hint="eastAsia" w:ascii="仿宋" w:hAnsi="仿宋" w:eastAsia="仿宋" w:cs="Times New Roman"/>
          <w:color w:val="auto"/>
          <w:sz w:val="30"/>
          <w:szCs w:val="30"/>
          <w:lang w:eastAsia="zh-CN"/>
        </w:rPr>
        <w:t>协议</w:t>
      </w:r>
      <w:r>
        <w:rPr>
          <w:rFonts w:hint="eastAsia" w:ascii="仿宋" w:hAnsi="仿宋" w:eastAsia="仿宋" w:cs="Times New Roman"/>
          <w:color w:val="auto"/>
          <w:sz w:val="30"/>
          <w:szCs w:val="30"/>
        </w:rPr>
        <w:t>履行期间，若由</w:t>
      </w:r>
      <w:r>
        <w:rPr>
          <w:rFonts w:hint="eastAsia" w:ascii="仿宋" w:hAnsi="仿宋" w:eastAsia="仿宋" w:cs="Times New Roman"/>
          <w:sz w:val="30"/>
          <w:szCs w:val="30"/>
        </w:rPr>
        <w:t xml:space="preserve">于出现需要调低医用耗材价格的情况导致乙方必须调低其中选医用耗材价格的，乙方应于调价信息公布后当日内向甲方所在省级药品和医用耗材集中采购机构提出解决方案，并按新价格供货。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黑体" w:hAnsi="黑体" w:eastAsia="黑体" w:cs="黑体"/>
          <w:sz w:val="30"/>
          <w:szCs w:val="30"/>
        </w:rPr>
        <w:t xml:space="preserve">第五条 质量、批件与有效期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5.1 乙方提供的中选医用耗材产品应符合中选医用耗材生产与经营的各种质量管理规范和办法相关章节中有关质量要求，并与投标时承诺的质量相一致，以确保临床使用安全有效。医用耗材的包装、标识、标签、说明书等应符合国家相关规定，并具备国家管理部门的相关批件。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5.2 如果甲方确认需要进行医用耗材质量检验，该质量检验将由甲方负责进行，由此产生的费用由乙方承担。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5.3 甲方如果发现中选医用耗材存在质量问题(有当地生产、经营监督管理部门的检验报告)，甲方有权与相关行政管理部门共同决定在候选中选医用耗材中选择替代医用耗材，涉及相关方按相关法律法规规定的处罚机关、处罚方式承担相应的法律责任。上述决定必须事先告知并接受书面申诉。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5.4 前述中选医用耗材批件应当随货提供。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color w:val="FF0000"/>
          <w:sz w:val="30"/>
          <w:szCs w:val="30"/>
        </w:rPr>
      </w:pPr>
      <w:r>
        <w:rPr>
          <w:rFonts w:hint="eastAsia" w:ascii="仿宋" w:hAnsi="仿宋" w:eastAsia="仿宋" w:cs="Times New Roman"/>
          <w:sz w:val="30"/>
          <w:szCs w:val="30"/>
        </w:rPr>
        <w:t>5.5 乙方确保其每次交付给甲方的中选医用耗材时，供货中选医用耗材的有效期须符合如下条件：除非甲方对有效期另有规定，甲方收到医用耗材的剩余有效期时间原则上不得少于6个月。如遇特殊情况，甲、乙双方可另行通过补充合同的方式约定剩余有效期。在中选医用耗材发生货源紧张的状况下，乙方应优先满足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的需求。</w:t>
      </w:r>
      <w:r>
        <w:rPr>
          <w:rFonts w:hint="eastAsia" w:ascii="仿宋" w:hAnsi="仿宋" w:eastAsia="仿宋" w:cs="Times New Roman"/>
          <w:color w:val="FF0000"/>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5.6 如乙方供货中选医用耗材为首营医用耗材，乙方有责任在交货前向甲方提供完整、准确的医用耗材首营资料。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5.7特殊医用耗材产品甲、乙双方另行协商。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黑体" w:hAnsi="黑体" w:eastAsia="黑体" w:cs="黑体"/>
          <w:sz w:val="30"/>
          <w:szCs w:val="30"/>
        </w:rPr>
        <w:t>第六条 订购</w:t>
      </w:r>
      <w:r>
        <w:rPr>
          <w:rFonts w:hint="eastAsia" w:ascii="仿宋" w:hAnsi="仿宋" w:eastAsia="仿宋" w:cs="Times New Roman"/>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6.1 甲方按约定医用耗材采购量通过辽宁省药品和医用耗材集中采购平台从乙方采购中选医用耗材。对于本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期限内甲方的采购增量需求，乙方应按中选价格及时供应。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Times New Roman"/>
          <w:sz w:val="30"/>
          <w:szCs w:val="30"/>
        </w:rPr>
      </w:pPr>
      <w:r>
        <w:rPr>
          <w:rFonts w:hint="eastAsia" w:ascii="仿宋" w:hAnsi="仿宋" w:eastAsia="仿宋" w:cs="Times New Roman"/>
          <w:sz w:val="30"/>
          <w:szCs w:val="30"/>
        </w:rPr>
        <w:t xml:space="preserve">6.2 甲乙双方须在要求的时间内，通过平台操作、网上确认的方式及时确认订单。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Times New Roman"/>
          <w:b w:val="0"/>
          <w:bCs w:val="0"/>
          <w:color w:val="auto"/>
          <w:sz w:val="30"/>
          <w:szCs w:val="30"/>
          <w:lang w:val="en-US" w:eastAsia="zh-CN"/>
        </w:rPr>
      </w:pPr>
      <w:r>
        <w:rPr>
          <w:rFonts w:hint="eastAsia" w:ascii="仿宋" w:hAnsi="仿宋" w:eastAsia="仿宋" w:cs="Times New Roman"/>
          <w:b w:val="0"/>
          <w:bCs w:val="0"/>
          <w:color w:val="auto"/>
          <w:sz w:val="30"/>
          <w:szCs w:val="30"/>
          <w:lang w:val="en-US" w:eastAsia="zh-CN"/>
        </w:rPr>
        <w:t>6.3 乙方对于甲方的订单应当及时响应，保证甲方所需产品配送到位。</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黑体" w:hAnsi="黑体" w:eastAsia="黑体" w:cs="黑体"/>
          <w:sz w:val="30"/>
          <w:szCs w:val="30"/>
        </w:rPr>
        <w:t xml:space="preserve">第七条 运送交付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7.1 乙方或其委托的配送企业配送医用耗材应与联盟地区（</w:t>
      </w:r>
      <w:r>
        <w:rPr>
          <w:rFonts w:ascii="仿宋" w:hAnsi="仿宋" w:eastAsia="仿宋" w:cs="Times New Roman"/>
          <w:sz w:val="30"/>
          <w:szCs w:val="30"/>
        </w:rPr>
        <w:t>辽宁省）</w:t>
      </w:r>
      <w:r>
        <w:rPr>
          <w:rFonts w:hint="eastAsia" w:ascii="仿宋" w:hAnsi="仿宋" w:eastAsia="仿宋" w:cs="Times New Roman"/>
          <w:sz w:val="30"/>
          <w:szCs w:val="30"/>
        </w:rPr>
        <w:t xml:space="preserve">采购结果中的中选医用耗材产品相一致。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7.2</w:t>
      </w:r>
      <w:r>
        <w:rPr>
          <w:rFonts w:hint="eastAsia" w:ascii="仿宋" w:hAnsi="仿宋" w:eastAsia="仿宋" w:cs="Times New Roman"/>
          <w:color w:val="FF0000"/>
          <w:sz w:val="30"/>
          <w:szCs w:val="30"/>
        </w:rPr>
        <w:t xml:space="preserve"> </w:t>
      </w:r>
      <w:r>
        <w:rPr>
          <w:rFonts w:hint="eastAsia" w:ascii="仿宋" w:hAnsi="仿宋" w:eastAsia="仿宋" w:cs="Times New Roman"/>
          <w:sz w:val="30"/>
          <w:szCs w:val="30"/>
        </w:rPr>
        <w:t>乙方必须按规定时间配送医用耗材，节假日正常配送。一般医用耗材在</w:t>
      </w:r>
      <w:r>
        <w:rPr>
          <w:rFonts w:hint="eastAsia" w:ascii="仿宋" w:hAnsi="仿宋" w:eastAsia="仿宋" w:cs="Times New Roman"/>
          <w:sz w:val="30"/>
          <w:szCs w:val="30"/>
          <w:lang w:val="en-US" w:eastAsia="zh-CN"/>
        </w:rPr>
        <w:t>72</w:t>
      </w:r>
      <w:r>
        <w:rPr>
          <w:rFonts w:hint="eastAsia" w:ascii="仿宋" w:hAnsi="仿宋" w:eastAsia="仿宋" w:cs="Times New Roman"/>
          <w:sz w:val="30"/>
          <w:szCs w:val="30"/>
        </w:rPr>
        <w:t>小时内配送到位，急需医用耗材按照临床需要及时配送到位（配送时间不超过4小时）。</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7.3 乙方保证以符合运输配送规定及中选医用耗材特性的物流配送方式进行运输，并就运输过程中因包装或运输不善导致医用耗材损坏或变质等承担全部责任。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color w:val="FF0000"/>
          <w:sz w:val="30"/>
          <w:szCs w:val="30"/>
        </w:rPr>
      </w:pPr>
      <w:r>
        <w:rPr>
          <w:rFonts w:hint="eastAsia" w:ascii="仿宋" w:hAnsi="仿宋" w:eastAsia="仿宋" w:cs="Times New Roman"/>
          <w:sz w:val="30"/>
          <w:szCs w:val="30"/>
        </w:rPr>
        <w:t>7.4 乙方保证中选医用耗材包装符合《医疗器械经营质量管理规范》及国家各级监督管理机构颁布的法规规章及货物运输要求。</w:t>
      </w:r>
      <w:r>
        <w:rPr>
          <w:rFonts w:hint="eastAsia" w:ascii="仿宋" w:hAnsi="仿宋" w:eastAsia="仿宋" w:cs="Times New Roman"/>
          <w:color w:val="FF0000"/>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7.5 乙方配送医用耗材应做到货票同行。每一个包装箱内须附详细装箱单，包装、标记和包装箱内外的单据应符合合同的特殊要求。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hint="eastAsia" w:ascii="黑体" w:hAnsi="黑体" w:eastAsia="黑体" w:cs="黑体"/>
          <w:sz w:val="30"/>
          <w:szCs w:val="30"/>
        </w:rPr>
      </w:pPr>
      <w:r>
        <w:rPr>
          <w:rFonts w:hint="eastAsia" w:ascii="仿宋" w:hAnsi="仿宋" w:eastAsia="仿宋" w:cs="Times New Roman"/>
          <w:sz w:val="30"/>
          <w:szCs w:val="30"/>
        </w:rPr>
        <w:t xml:space="preserve">7.6 除非对包装另有规定，乙方配送的全部医用耗材必须按标准保护措施进行包装，以防止医用耗材在转运中损坏或变质，确保医用耗材安全无损运抵指定现场，否则所造成的一切损失均由乙方负责。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hint="eastAsia" w:ascii="黑体" w:hAnsi="黑体" w:eastAsia="黑体" w:cs="黑体"/>
          <w:sz w:val="30"/>
          <w:szCs w:val="30"/>
        </w:rPr>
      </w:pP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黑体" w:hAnsi="黑体" w:eastAsia="黑体" w:cs="黑体"/>
          <w:sz w:val="30"/>
          <w:szCs w:val="30"/>
        </w:rPr>
        <w:t>第八条 验收</w:t>
      </w:r>
      <w:r>
        <w:rPr>
          <w:rFonts w:hint="eastAsia" w:ascii="仿宋" w:hAnsi="仿宋" w:eastAsia="仿宋" w:cs="Times New Roman"/>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甲方在接收乙方配送的中选医用耗材时，应当场清点产品的整箱外包装（即大件包装）是否完好牢固。发现短少、破损、污染、异形等情形，或有其他不符合法律法规规定的情形，有权拒绝接收，乙方应及时更换被拒收的中选医用耗材，并承担由此对甲方造成的损失。</w:t>
      </w:r>
      <w:r>
        <w:rPr>
          <w:rFonts w:hint="eastAsia" w:ascii="仿宋" w:hAnsi="仿宋" w:eastAsia="仿宋" w:cs="Times New Roman"/>
          <w:color w:val="000000"/>
          <w:sz w:val="30"/>
          <w:szCs w:val="30"/>
        </w:rPr>
        <w:t>医疗卫生机构的验收视同甲方验收，具有同等法律效力。</w:t>
      </w:r>
      <w:r>
        <w:rPr>
          <w:rFonts w:hint="eastAsia" w:ascii="仿宋" w:hAnsi="仿宋" w:eastAsia="仿宋" w:cs="Times New Roman"/>
          <w:color w:val="FF0000"/>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黑体" w:hAnsi="黑体" w:eastAsia="黑体" w:cs="黑体"/>
          <w:sz w:val="30"/>
          <w:szCs w:val="30"/>
        </w:rPr>
        <w:t>第九条 交货时间及地点</w:t>
      </w:r>
      <w:r>
        <w:rPr>
          <w:rFonts w:hint="eastAsia" w:ascii="仿宋" w:hAnsi="仿宋" w:eastAsia="仿宋" w:cs="Times New Roman"/>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9.1 乙方配送医用耗材交货的时间和数量必须严格按照甲方在辽宁省药品和医用耗材集中采购平台上发送的订单执行。配送时应提供同批次的质量合格报告书。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Times New Roman"/>
          <w:sz w:val="30"/>
          <w:szCs w:val="30"/>
          <w:lang w:val="en-US" w:eastAsia="zh-CN"/>
        </w:rPr>
      </w:pPr>
      <w:r>
        <w:rPr>
          <w:rFonts w:hint="eastAsia" w:ascii="仿宋" w:hAnsi="仿宋" w:eastAsia="仿宋" w:cs="Times New Roman"/>
          <w:sz w:val="30"/>
          <w:szCs w:val="30"/>
        </w:rPr>
        <w:t>9.2 交货地点：由甲乙双方协商确定</w:t>
      </w:r>
      <w:r>
        <w:rPr>
          <w:rFonts w:hint="eastAsia" w:ascii="仿宋" w:hAnsi="仿宋" w:eastAsia="仿宋" w:cs="Times New Roman"/>
          <w:sz w:val="30"/>
          <w:szCs w:val="30"/>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黑体" w:hAnsi="黑体" w:eastAsia="黑体" w:cs="黑体"/>
          <w:sz w:val="30"/>
          <w:szCs w:val="30"/>
        </w:rPr>
        <w:t xml:space="preserve">第十条 </w:t>
      </w:r>
      <w:r>
        <w:rPr>
          <w:rFonts w:hint="eastAsia" w:ascii="黑体" w:hAnsi="黑体" w:eastAsia="黑体" w:cs="黑体"/>
          <w:sz w:val="30"/>
          <w:szCs w:val="30"/>
          <w:lang w:eastAsia="zh-CN"/>
        </w:rPr>
        <w:t>货款</w:t>
      </w:r>
      <w:r>
        <w:rPr>
          <w:rFonts w:hint="eastAsia" w:ascii="黑体" w:hAnsi="黑体" w:eastAsia="黑体" w:cs="黑体"/>
          <w:sz w:val="30"/>
          <w:szCs w:val="30"/>
        </w:rPr>
        <w:t xml:space="preserve">结算时间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10.1甲方</w:t>
      </w:r>
      <w:r>
        <w:rPr>
          <w:rFonts w:hint="eastAsia" w:ascii="仿宋" w:hAnsi="仿宋" w:eastAsia="仿宋" w:cs="Times New Roman"/>
          <w:sz w:val="30"/>
          <w:szCs w:val="30"/>
          <w:lang w:eastAsia="zh-CN"/>
        </w:rPr>
        <w:t>应当及时</w:t>
      </w:r>
      <w:r>
        <w:rPr>
          <w:rFonts w:hint="eastAsia" w:ascii="仿宋" w:hAnsi="仿宋" w:eastAsia="仿宋" w:cs="Times New Roman"/>
          <w:sz w:val="30"/>
          <w:szCs w:val="30"/>
        </w:rPr>
        <w:t>与乙方结</w:t>
      </w:r>
      <w:r>
        <w:rPr>
          <w:rFonts w:hint="eastAsia" w:ascii="仿宋" w:hAnsi="仿宋" w:eastAsia="仿宋" w:cs="Times New Roman"/>
          <w:sz w:val="30"/>
          <w:szCs w:val="30"/>
          <w:lang w:eastAsia="zh-CN"/>
        </w:rPr>
        <w:t>清货款，结清时间不得超过交货验收合格后次月底</w:t>
      </w:r>
      <w:r>
        <w:rPr>
          <w:rFonts w:hint="eastAsia" w:ascii="仿宋" w:hAnsi="仿宋" w:eastAsia="仿宋" w:cs="Times New Roman"/>
          <w:sz w:val="30"/>
          <w:szCs w:val="30"/>
        </w:rPr>
        <w:t>。</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黑体" w:hAnsi="黑体" w:eastAsia="黑体" w:cs="黑体"/>
          <w:sz w:val="30"/>
          <w:szCs w:val="30"/>
        </w:rPr>
        <w:t>第十一条 退换货</w:t>
      </w:r>
      <w:r>
        <w:rPr>
          <w:rFonts w:hint="eastAsia" w:ascii="仿宋" w:hAnsi="仿宋" w:eastAsia="仿宋" w:cs="Times New Roman"/>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11.1 若因中选医用耗材本身的质量问题发生甲方退货的情况，乙方应无条件退换货并承担由此产生的一切费用，所导致的所有纠纷及赔偿由乙方承担相应责任。乙方承诺以现金形式补偿甲方由此造成的所有损失。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11.2 乙方供货符合质量验收的标准，但是在甲方收货的当天，中选医用耗材的有效期不符合本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第5.5条的约定，甲方在收货后的5个工作日内有权要求乙方对这类中选医用耗材作出退货或换货的处理。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color w:val="FF0000"/>
          <w:sz w:val="30"/>
          <w:szCs w:val="30"/>
        </w:rPr>
      </w:pPr>
      <w:r>
        <w:rPr>
          <w:rFonts w:hint="eastAsia" w:ascii="仿宋" w:hAnsi="仿宋" w:eastAsia="仿宋" w:cs="Times New Roman"/>
          <w:sz w:val="30"/>
          <w:szCs w:val="30"/>
        </w:rPr>
        <w:t>11.3 对由于滞销而出现的近效期中选医用耗材，甲方可向乙方就未销售的中选医用耗材进行调换。</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11.4 经甲乙双方的</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约定或协商，在发生甲方退货情形时，由于退货产生的退货货款，甲方已经支付货款的，甲方可以要求乙方即时向其归还该款，也可将此货款冲抵下一次供货产生的货款。甲方尚未支付退货中选医用耗材货款的，甲方不承担继续支付的责任。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黑体" w:hAnsi="黑体" w:eastAsia="黑体" w:cs="黑体"/>
          <w:sz w:val="30"/>
          <w:szCs w:val="30"/>
        </w:rPr>
      </w:pPr>
      <w:r>
        <w:rPr>
          <w:rFonts w:hint="eastAsia" w:ascii="黑体" w:hAnsi="黑体" w:eastAsia="黑体" w:cs="黑体"/>
          <w:sz w:val="30"/>
          <w:szCs w:val="30"/>
        </w:rPr>
        <w:t xml:space="preserve">第十二条 召回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12.1 在本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履行过程中，若乙方自行或者根据中国政府相关部门的要求召回中选医用耗材时，乙方应当及时通知甲方，作出相应说明。乙方应向甲方提供必要的协助配合，且召回中所产生的费用均由乙方承担。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12.2 乙方在最终召回日期后的5个工作日内，根据实际召回数量向甲方归还货款。在此之后仍有中选医用耗材被召回的，乙方应按上述约定承担同样的责任。甲方亦有权直接向乙方行使此项权利。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黑体" w:hAnsi="黑体" w:eastAsia="黑体" w:cs="黑体"/>
          <w:sz w:val="30"/>
          <w:szCs w:val="30"/>
        </w:rPr>
        <w:t>第十三条 伴随服务</w:t>
      </w:r>
      <w:r>
        <w:rPr>
          <w:rFonts w:hint="eastAsia" w:ascii="仿宋" w:hAnsi="仿宋" w:eastAsia="仿宋" w:cs="Times New Roman"/>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在本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履行的过程中，甲方可要求乙方免费提供伴随服务中一项或全部：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（1）医用耗材的现场搬运或入库；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color w:val="FF0000"/>
          <w:sz w:val="30"/>
          <w:szCs w:val="30"/>
        </w:rPr>
      </w:pPr>
      <w:r>
        <w:rPr>
          <w:rFonts w:hint="eastAsia" w:ascii="仿宋" w:hAnsi="仿宋" w:eastAsia="仿宋" w:cs="Times New Roman"/>
          <w:sz w:val="30"/>
          <w:szCs w:val="30"/>
        </w:rPr>
        <w:t>（2）提供医用耗材开箱或分装的用具；</w:t>
      </w:r>
      <w:r>
        <w:rPr>
          <w:rFonts w:hint="eastAsia" w:ascii="仿宋" w:hAnsi="仿宋" w:eastAsia="仿宋" w:cs="Times New Roman"/>
          <w:color w:val="FF0000"/>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color w:val="FF0000"/>
          <w:sz w:val="30"/>
          <w:szCs w:val="30"/>
        </w:rPr>
      </w:pPr>
      <w:r>
        <w:rPr>
          <w:rFonts w:hint="eastAsia" w:ascii="仿宋" w:hAnsi="仿宋" w:eastAsia="仿宋" w:cs="Times New Roman"/>
          <w:sz w:val="30"/>
          <w:szCs w:val="30"/>
        </w:rPr>
        <w:t>（3）对开箱时发现的破损、近效期医用耗材或其他不合格包装医用耗材及时更换；</w:t>
      </w:r>
      <w:r>
        <w:rPr>
          <w:rFonts w:hint="eastAsia" w:ascii="仿宋" w:hAnsi="仿宋" w:eastAsia="仿宋" w:cs="Times New Roman"/>
          <w:color w:val="FF0000"/>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（4）交付冷藏医用耗材产品的，提供冷藏医用耗材的测温工具，并按照乙方销售中选医用耗材的实际需要提供冷藏保温储存设备；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（5）在甲方指定地点为所供医用耗材的临床应用进行现场讲解或培训；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（6）其他乙方应提供的相关服务项目。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黑体" w:hAnsi="黑体" w:eastAsia="黑体" w:cs="黑体"/>
          <w:sz w:val="30"/>
          <w:szCs w:val="30"/>
        </w:rPr>
        <w:t>第十四条 医用耗材损耗</w:t>
      </w:r>
      <w:r>
        <w:rPr>
          <w:rFonts w:hint="eastAsia" w:ascii="仿宋" w:hAnsi="仿宋" w:eastAsia="仿宋" w:cs="Times New Roman"/>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若甲方遇到国家监督管理部门对中选医用耗材进行质量抽样检查，抽样医用耗材的样品及在检查和复检过程中所产生的各类相关费用均由乙方承担，可通过补货或退（补）款等形式实现，因中选医用耗材检验不合格所发生的相关罚款及相关损失亦由乙方承担。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黑体" w:hAnsi="黑体" w:eastAsia="黑体" w:cs="黑体"/>
          <w:sz w:val="30"/>
          <w:szCs w:val="30"/>
        </w:rPr>
        <w:t>第十五条 知识产权及商业秘密保护</w:t>
      </w:r>
      <w:r>
        <w:rPr>
          <w:rFonts w:hint="eastAsia" w:ascii="仿宋" w:hAnsi="仿宋" w:eastAsia="仿宋" w:cs="Times New Roman"/>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15.1 乙方保证其中选医用耗材不侵害他人的知识产权，若甲方在经销、展示、运输等过程中因中选医用耗材侵害他人知识产权而受到追诉的，甲方所产生的所有损失，均由乙方承担。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15.2 甲、乙双方均不得利用履行本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所形成的便利条件，侵害各方的知识产权，该知识产权具体包括但不限于制造方法的专利权、专有技术，商标权以及企业名称权等。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15.3 甲、乙双方应恪守商业秘密保护的责任，未经对方同意，不得擅自使用或对外披露对方的商业秘密。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黑体" w:hAnsi="黑体" w:eastAsia="黑体" w:cs="黑体"/>
          <w:sz w:val="30"/>
          <w:szCs w:val="30"/>
        </w:rPr>
        <w:t xml:space="preserve">第十六条 违约责任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Times New Roman"/>
          <w:sz w:val="30"/>
          <w:szCs w:val="30"/>
        </w:rPr>
      </w:pPr>
      <w:r>
        <w:rPr>
          <w:rFonts w:hint="eastAsia" w:ascii="仿宋" w:hAnsi="仿宋" w:eastAsia="仿宋" w:cs="Times New Roman"/>
          <w:sz w:val="30"/>
          <w:szCs w:val="30"/>
        </w:rPr>
        <w:t>16.1甲方不按</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项目约定，在</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期内无故未完成约定采购量的，应承担违约责任，向乙方支付法定滞纳金但最高不超过医用耗材价款5%的违约金，并按有关规定处理。</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16.2 乙方有下列行为者，承担以下违约责任。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b w:val="0"/>
          <w:bCs w:val="0"/>
          <w:strike w:val="0"/>
          <w:dstrike w:val="0"/>
          <w:color w:val="auto"/>
          <w:sz w:val="30"/>
          <w:szCs w:val="30"/>
        </w:rPr>
      </w:pPr>
      <w:r>
        <w:rPr>
          <w:rFonts w:hint="eastAsia" w:ascii="仿宋" w:hAnsi="仿宋" w:eastAsia="仿宋" w:cs="Times New Roman"/>
          <w:sz w:val="30"/>
          <w:szCs w:val="30"/>
        </w:rPr>
        <w:t>16.2.1 如乙方无正当理由拖延</w:t>
      </w:r>
      <w:r>
        <w:rPr>
          <w:rFonts w:hint="eastAsia" w:ascii="仿宋" w:hAnsi="仿宋" w:eastAsia="仿宋" w:cs="Times New Roman"/>
          <w:color w:val="auto"/>
          <w:sz w:val="30"/>
          <w:szCs w:val="30"/>
        </w:rPr>
        <w:t>交</w:t>
      </w:r>
      <w:r>
        <w:rPr>
          <w:rFonts w:hint="eastAsia" w:ascii="仿宋" w:hAnsi="仿宋" w:eastAsia="仿宋" w:cs="Times New Roman"/>
          <w:b w:val="0"/>
          <w:bCs w:val="0"/>
          <w:color w:val="auto"/>
          <w:sz w:val="30"/>
          <w:szCs w:val="30"/>
        </w:rPr>
        <w:t>货</w:t>
      </w:r>
      <w:r>
        <w:rPr>
          <w:rFonts w:hint="eastAsia" w:ascii="仿宋" w:hAnsi="仿宋" w:eastAsia="仿宋" w:cs="Times New Roman"/>
          <w:b w:val="0"/>
          <w:bCs w:val="0"/>
          <w:color w:val="auto"/>
          <w:sz w:val="30"/>
          <w:szCs w:val="30"/>
          <w:lang w:val="en-US" w:eastAsia="zh-CN"/>
        </w:rPr>
        <w:t>或提供的医用耗材质量不合格，</w:t>
      </w:r>
      <w:r>
        <w:rPr>
          <w:rFonts w:hint="eastAsia" w:ascii="仿宋" w:hAnsi="仿宋" w:eastAsia="仿宋" w:cs="Times New Roman"/>
          <w:b w:val="0"/>
          <w:bCs w:val="0"/>
          <w:strike w:val="0"/>
          <w:dstrike w:val="0"/>
          <w:color w:val="auto"/>
          <w:sz w:val="30"/>
          <w:szCs w:val="30"/>
          <w:lang w:val="en-US" w:eastAsia="zh-CN"/>
        </w:rPr>
        <w:t>乙方应按本协议总价款5%的计算标准，向甲方支付违约金。给甲方造成损失的，由乙方承担赔偿责任。</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16.2.2 误期赔偿。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（1）如果乙方没有按照</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规定的时间配送医用耗材并提供伴随服务，甲方应从价款中扣除违约金而不影响本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项下的其它补救办法。</w:t>
      </w:r>
      <w:r>
        <w:rPr>
          <w:rFonts w:hint="eastAsia" w:ascii="仿宋" w:hAnsi="仿宋" w:eastAsia="仿宋" w:cs="Times New Roman"/>
          <w:strike w:val="0"/>
          <w:dstrike w:val="0"/>
          <w:sz w:val="30"/>
          <w:szCs w:val="30"/>
        </w:rPr>
        <w:t>误期赔偿的</w:t>
      </w:r>
      <w:r>
        <w:rPr>
          <w:rFonts w:hint="eastAsia" w:ascii="仿宋" w:hAnsi="仿宋" w:eastAsia="仿宋" w:cs="Times New Roman"/>
          <w:b w:val="0"/>
          <w:bCs w:val="0"/>
          <w:strike w:val="0"/>
          <w:sz w:val="30"/>
          <w:szCs w:val="30"/>
        </w:rPr>
        <w:t>违约金按</w:t>
      </w:r>
      <w:r>
        <w:rPr>
          <w:rFonts w:hint="eastAsia" w:ascii="仿宋" w:hAnsi="仿宋" w:eastAsia="仿宋" w:cs="Times New Roman"/>
          <w:strike w:val="0"/>
          <w:dstrike w:val="0"/>
          <w:sz w:val="30"/>
          <w:szCs w:val="30"/>
        </w:rPr>
        <w:t>国家有关法律规定办法计算,违约金的最高限额是</w:t>
      </w:r>
      <w:r>
        <w:rPr>
          <w:rFonts w:hint="eastAsia" w:ascii="仿宋" w:hAnsi="仿宋" w:eastAsia="仿宋" w:cs="Times New Roman"/>
          <w:strike w:val="0"/>
          <w:dstrike w:val="0"/>
          <w:sz w:val="30"/>
          <w:szCs w:val="30"/>
          <w:lang w:eastAsia="zh-CN"/>
        </w:rPr>
        <w:t>协议</w:t>
      </w:r>
      <w:r>
        <w:rPr>
          <w:rFonts w:hint="eastAsia" w:ascii="仿宋" w:hAnsi="仿宋" w:eastAsia="仿宋" w:cs="Times New Roman"/>
          <w:strike w:val="0"/>
          <w:sz w:val="30"/>
          <w:szCs w:val="30"/>
        </w:rPr>
        <w:t>总价的5%</w:t>
      </w:r>
      <w:r>
        <w:rPr>
          <w:rFonts w:hint="eastAsia" w:ascii="仿宋" w:hAnsi="仿宋" w:eastAsia="仿宋" w:cs="Times New Roman"/>
          <w:strike w:val="0"/>
          <w:dstrike w:val="0"/>
          <w:sz w:val="30"/>
          <w:szCs w:val="30"/>
        </w:rPr>
        <w:t>，一旦达到违约金的最高限额，甲方可以终止合同</w:t>
      </w:r>
      <w:r>
        <w:rPr>
          <w:rFonts w:hint="eastAsia" w:ascii="仿宋" w:hAnsi="仿宋" w:eastAsia="仿宋" w:cs="Times New Roman"/>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（2）乙方在支付违约金后，还应履行应尽的交货义务。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16.3 不可抗力违约的约定。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16.3.1 本条所述的“不可抗力”是指那些受影响方无法控制、不可预见的事件（包括战争、严重火灾、洪水、台风、地震等），但不包括故意违约或疏忽。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16.3.2 在不可抗力事件发生后，受影响方应尽快以书面形式将不可抗力的情况和原因通知</w:t>
      </w:r>
      <w:r>
        <w:rPr>
          <w:rFonts w:hint="eastAsia" w:ascii="仿宋" w:hAnsi="仿宋" w:eastAsia="仿宋" w:cs="Times New Roman"/>
          <w:sz w:val="30"/>
          <w:szCs w:val="30"/>
          <w:lang w:eastAsia="zh-CN"/>
        </w:rPr>
        <w:t>对</w:t>
      </w:r>
      <w:r>
        <w:rPr>
          <w:rFonts w:hint="eastAsia" w:ascii="仿宋" w:hAnsi="仿宋" w:eastAsia="仿宋" w:cs="Times New Roman"/>
          <w:sz w:val="30"/>
          <w:szCs w:val="30"/>
        </w:rPr>
        <w:t>方。受影响方应尽实际可能继续履行</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义务，以及寻求采取合理的方案履行不受不可抗力影响的其他事项。不可抗力事件影响消除后，双方可通过协商在合理的时间内达成进一步履行</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的</w:t>
      </w:r>
      <w:r>
        <w:rPr>
          <w:rFonts w:hint="eastAsia" w:ascii="仿宋" w:hAnsi="仿宋" w:eastAsia="仿宋" w:cs="Times New Roman"/>
          <w:sz w:val="30"/>
          <w:szCs w:val="30"/>
          <w:lang w:eastAsia="zh-CN"/>
        </w:rPr>
        <w:t>补充</w:t>
      </w:r>
      <w:r>
        <w:rPr>
          <w:rFonts w:hint="eastAsia" w:ascii="仿宋" w:hAnsi="仿宋" w:eastAsia="仿宋" w:cs="Times New Roman"/>
          <w:sz w:val="30"/>
          <w:szCs w:val="30"/>
        </w:rPr>
        <w:t xml:space="preserve">协议。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16.3.3 在履行合同过程中，如果乙方因不可抗力造成不能按时配送医用耗材和提供相应的伴随服务情况时，应及时以书面形式将拖延的事实、可能拖延的时间和原因通知甲方。甲方在收到乙方通知后，应尽快对情况进行核实。并由甲方确定是否酌情延长交货时间以及是否收取违约金或终止</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。延期应通过修改</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的方式由双方认可并重新签</w:t>
      </w:r>
      <w:r>
        <w:rPr>
          <w:rFonts w:hint="eastAsia" w:ascii="仿宋" w:hAnsi="仿宋" w:eastAsia="仿宋" w:cs="Times New Roman"/>
          <w:sz w:val="30"/>
          <w:szCs w:val="30"/>
          <w:lang w:eastAsia="zh-CN"/>
        </w:rPr>
        <w:t>订</w:t>
      </w:r>
      <w:r>
        <w:rPr>
          <w:rFonts w:hint="eastAsia" w:ascii="仿宋" w:hAnsi="仿宋" w:eastAsia="仿宋" w:cs="Times New Roman"/>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黑体" w:hAnsi="黑体" w:eastAsia="黑体" w:cs="黑体"/>
          <w:sz w:val="30"/>
          <w:szCs w:val="30"/>
        </w:rPr>
      </w:pPr>
      <w:r>
        <w:rPr>
          <w:rFonts w:hint="eastAsia" w:ascii="黑体" w:hAnsi="黑体" w:eastAsia="黑体" w:cs="黑体"/>
          <w:sz w:val="30"/>
          <w:szCs w:val="30"/>
        </w:rPr>
        <w:t xml:space="preserve">第十七条 </w:t>
      </w:r>
      <w:r>
        <w:rPr>
          <w:rFonts w:hint="eastAsia" w:ascii="黑体" w:hAnsi="黑体" w:eastAsia="黑体" w:cs="黑体"/>
          <w:sz w:val="30"/>
          <w:szCs w:val="30"/>
          <w:lang w:eastAsia="zh-CN"/>
        </w:rPr>
        <w:t>协议</w:t>
      </w:r>
      <w:r>
        <w:rPr>
          <w:rFonts w:hint="eastAsia" w:ascii="黑体" w:hAnsi="黑体" w:eastAsia="黑体" w:cs="黑体"/>
          <w:sz w:val="30"/>
          <w:szCs w:val="30"/>
        </w:rPr>
        <w:t xml:space="preserve">的变更和解除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17.1 甲乙任何一方严重违约，造成本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无法继续履行或履行无意义的，被违约的一方有权解除本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的履行。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17.2 乙方丧失必要的经营资质，不能再从事医用耗材生产或经营活动的，或资不抵债的，或无能力的/或承认其无能力清偿到期债务的，守约方有权解除本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的履行。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17.3 甲乙方任何一方违反本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第15条约定，守约方有权解除本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的履行。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17.4 在国家政策调整或不可抗力发生的情况下，甲、乙双方可根据情况变更或解除本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的履行。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17.5 乙方延迟供货超过10个工作日</w:t>
      </w:r>
      <w:r>
        <w:rPr>
          <w:rFonts w:hint="eastAsia" w:ascii="仿宋" w:hAnsi="仿宋" w:eastAsia="仿宋" w:cs="Times New Roman"/>
          <w:color w:val="auto"/>
          <w:sz w:val="30"/>
          <w:szCs w:val="30"/>
          <w:lang w:val="en-US" w:eastAsia="zh-CN"/>
        </w:rPr>
        <w:t>或乙方提供的医用耗材质量不合格的</w:t>
      </w:r>
      <w:r>
        <w:rPr>
          <w:rFonts w:hint="eastAsia" w:ascii="仿宋" w:hAnsi="仿宋" w:eastAsia="仿宋" w:cs="Times New Roman"/>
          <w:color w:val="auto"/>
          <w:sz w:val="30"/>
          <w:szCs w:val="30"/>
        </w:rPr>
        <w:t>，</w:t>
      </w:r>
      <w:r>
        <w:rPr>
          <w:rFonts w:hint="eastAsia" w:ascii="仿宋" w:hAnsi="仿宋" w:eastAsia="仿宋" w:cs="Times New Roman"/>
          <w:sz w:val="30"/>
          <w:szCs w:val="30"/>
        </w:rPr>
        <w:t>甲方有权直接解除本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的履行。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 xml:space="preserve">17.6 </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变更和解除前约定履行但尚未履行的部分，除法律法规有明确规定不能继续履行的，甲、乙双方应继续履行至结束。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黑体" w:hAnsi="黑体" w:eastAsia="黑体" w:cs="黑体"/>
          <w:sz w:val="30"/>
          <w:szCs w:val="30"/>
        </w:rPr>
        <w:t>第十八条 争议的解决方式</w:t>
      </w:r>
      <w:r>
        <w:rPr>
          <w:rFonts w:hint="eastAsia" w:ascii="仿宋" w:hAnsi="仿宋" w:eastAsia="仿宋" w:cs="Times New Roman"/>
          <w:sz w:val="30"/>
          <w:szCs w:val="30"/>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18.1 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适用中华人民共和国法律法规。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18.2 在</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执行过程中发生任何争议，双方应友好协商解决，协商不成，双方同意将争议提交甲方所在地有管辖权的人民法院管辖。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黑体" w:hAnsi="黑体" w:eastAsia="黑体" w:cs="黑体"/>
          <w:sz w:val="30"/>
          <w:szCs w:val="30"/>
        </w:rPr>
      </w:pPr>
      <w:r>
        <w:rPr>
          <w:rFonts w:hint="eastAsia" w:ascii="黑体" w:hAnsi="黑体" w:eastAsia="黑体" w:cs="黑体"/>
          <w:sz w:val="30"/>
          <w:szCs w:val="30"/>
        </w:rPr>
        <w:t xml:space="preserve">第十九条 其他条款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19.1 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未尽事宜，双方应通过友好协商。经双方书面同意可以对</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条款进行补充或修改，根据需要可另行签订补充</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作为本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的附件，附件具有同等的法律效力。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r>
        <w:rPr>
          <w:rFonts w:hint="eastAsia" w:ascii="仿宋" w:hAnsi="仿宋" w:eastAsia="仿宋" w:cs="Times New Roman"/>
          <w:sz w:val="30"/>
          <w:szCs w:val="30"/>
        </w:rPr>
        <w:t>19.2本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一式四份，甲、乙双方各执两份。本</w:t>
      </w:r>
      <w:r>
        <w:rPr>
          <w:rFonts w:hint="eastAsia" w:ascii="仿宋" w:hAnsi="仿宋" w:eastAsia="仿宋" w:cs="Times New Roman"/>
          <w:sz w:val="30"/>
          <w:szCs w:val="30"/>
          <w:lang w:eastAsia="zh-CN"/>
        </w:rPr>
        <w:t>协议</w:t>
      </w:r>
      <w:r>
        <w:rPr>
          <w:rFonts w:hint="eastAsia" w:ascii="仿宋" w:hAnsi="仿宋" w:eastAsia="仿宋" w:cs="Times New Roman"/>
          <w:sz w:val="30"/>
          <w:szCs w:val="30"/>
        </w:rPr>
        <w:t xml:space="preserve">经甲、乙双方法定代表人（负责人）或授权代理人签字并加盖公章后生效。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p>
    <w:p>
      <w:pPr>
        <w:keepNext w:val="0"/>
        <w:keepLines w:val="0"/>
        <w:pageBreakBefore w:val="0"/>
        <w:widowControl/>
        <w:shd w:val="clear" w:color="auto" w:fill="FFFFFF"/>
        <w:kinsoku/>
        <w:wordWrap/>
        <w:overflowPunct/>
        <w:topLinePunct w:val="0"/>
        <w:autoSpaceDE/>
        <w:autoSpaceDN/>
        <w:bidi w:val="0"/>
        <w:adjustRightInd/>
        <w:snapToGrid/>
        <w:spacing w:line="400" w:lineRule="exact"/>
        <w:textAlignment w:val="auto"/>
        <w:rPr>
          <w:rFonts w:hint="eastAsia" w:ascii="仿宋" w:hAnsi="仿宋" w:eastAsia="仿宋" w:cs="Times New Roman"/>
          <w:sz w:val="30"/>
          <w:szCs w:val="30"/>
        </w:rPr>
      </w:pPr>
      <w:r>
        <w:rPr>
          <w:rFonts w:hint="eastAsia" w:ascii="仿宋" w:hAnsi="仿宋" w:eastAsia="仿宋" w:cs="Times New Roman"/>
          <w:sz w:val="30"/>
          <w:szCs w:val="30"/>
        </w:rPr>
        <w:t xml:space="preserve">甲方（盖章）：           </w:t>
      </w:r>
      <w:r>
        <w:rPr>
          <w:rFonts w:hint="eastAsia" w:ascii="仿宋" w:hAnsi="仿宋" w:eastAsia="仿宋" w:cs="Times New Roman"/>
          <w:sz w:val="30"/>
          <w:szCs w:val="30"/>
          <w:lang w:val="en-US" w:eastAsia="zh-CN"/>
        </w:rPr>
        <w:t xml:space="preserve">    </w:t>
      </w:r>
      <w:r>
        <w:rPr>
          <w:rFonts w:hint="eastAsia" w:ascii="仿宋" w:hAnsi="仿宋" w:eastAsia="仿宋" w:cs="Times New Roman"/>
          <w:sz w:val="30"/>
          <w:szCs w:val="30"/>
        </w:rPr>
        <w:t xml:space="preserve">乙方（盖章）： </w:t>
      </w:r>
    </w:p>
    <w:p>
      <w:pPr>
        <w:keepNext w:val="0"/>
        <w:keepLines w:val="0"/>
        <w:pageBreakBefore w:val="0"/>
        <w:widowControl/>
        <w:shd w:val="clear" w:color="auto" w:fill="FFFFFF"/>
        <w:kinsoku/>
        <w:wordWrap/>
        <w:overflowPunct/>
        <w:topLinePunct w:val="0"/>
        <w:autoSpaceDE/>
        <w:autoSpaceDN/>
        <w:bidi w:val="0"/>
        <w:adjustRightInd/>
        <w:snapToGrid/>
        <w:spacing w:line="400" w:lineRule="exact"/>
        <w:textAlignment w:val="auto"/>
        <w:rPr>
          <w:rFonts w:hint="eastAsia" w:ascii="仿宋" w:hAnsi="仿宋" w:eastAsia="仿宋" w:cs="Times New Roman"/>
          <w:color w:val="FF0000"/>
          <w:sz w:val="30"/>
          <w:szCs w:val="30"/>
          <w:lang w:eastAsia="zh-CN"/>
        </w:rPr>
      </w:pPr>
      <w:r>
        <w:rPr>
          <w:rFonts w:hint="eastAsia" w:ascii="仿宋" w:hAnsi="仿宋" w:eastAsia="仿宋" w:cs="Times New Roman"/>
          <w:sz w:val="30"/>
          <w:szCs w:val="30"/>
        </w:rPr>
        <w:t>法定代表人</w:t>
      </w:r>
      <w:r>
        <w:rPr>
          <w:rFonts w:hint="eastAsia" w:ascii="仿宋" w:hAnsi="仿宋" w:eastAsia="仿宋" w:cs="Times New Roman"/>
          <w:strike w:val="0"/>
          <w:dstrike w:val="0"/>
          <w:sz w:val="30"/>
          <w:szCs w:val="30"/>
        </w:rPr>
        <w:t>（签章）：</w:t>
      </w:r>
      <w:r>
        <w:rPr>
          <w:rFonts w:hint="eastAsia" w:ascii="仿宋" w:hAnsi="仿宋" w:eastAsia="仿宋" w:cs="Times New Roman"/>
          <w:strike w:val="0"/>
          <w:sz w:val="30"/>
          <w:szCs w:val="30"/>
        </w:rPr>
        <w:t xml:space="preserve"> </w:t>
      </w:r>
      <w:r>
        <w:rPr>
          <w:rFonts w:hint="eastAsia" w:ascii="仿宋" w:hAnsi="仿宋" w:eastAsia="仿宋" w:cs="Times New Roman"/>
          <w:strike w:val="0"/>
          <w:sz w:val="30"/>
          <w:szCs w:val="30"/>
          <w:lang w:val="en-US" w:eastAsia="zh-CN"/>
        </w:rPr>
        <w:t xml:space="preserve">        </w:t>
      </w:r>
      <w:r>
        <w:rPr>
          <w:rFonts w:hint="eastAsia" w:ascii="仿宋" w:hAnsi="仿宋" w:eastAsia="仿宋" w:cs="Times New Roman"/>
          <w:sz w:val="30"/>
          <w:szCs w:val="30"/>
        </w:rPr>
        <w:t>法定代表人</w:t>
      </w:r>
      <w:r>
        <w:rPr>
          <w:rFonts w:hint="eastAsia" w:ascii="仿宋" w:hAnsi="仿宋" w:eastAsia="仿宋" w:cs="Times New Roman"/>
          <w:strike w:val="0"/>
          <w:dstrike w:val="0"/>
          <w:sz w:val="30"/>
          <w:szCs w:val="30"/>
        </w:rPr>
        <w:t>（签章）：</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600" w:firstLineChars="200"/>
        <w:textAlignment w:val="auto"/>
        <w:rPr>
          <w:rFonts w:ascii="仿宋" w:hAnsi="仿宋" w:eastAsia="仿宋" w:cs="Times New Roman"/>
          <w:sz w:val="30"/>
          <w:szCs w:val="30"/>
        </w:rPr>
      </w:pPr>
    </w:p>
    <w:p>
      <w:pPr>
        <w:keepNext w:val="0"/>
        <w:keepLines w:val="0"/>
        <w:pageBreakBefore w:val="0"/>
        <w:widowControl/>
        <w:shd w:val="clear" w:color="auto" w:fill="FFFFFF"/>
        <w:kinsoku/>
        <w:wordWrap/>
        <w:overflowPunct/>
        <w:topLinePunct w:val="0"/>
        <w:autoSpaceDE/>
        <w:autoSpaceDN/>
        <w:bidi w:val="0"/>
        <w:adjustRightInd/>
        <w:snapToGrid/>
        <w:spacing w:line="400" w:lineRule="exact"/>
        <w:textAlignment w:val="auto"/>
        <w:rPr>
          <w:rFonts w:hint="eastAsia" w:ascii="Calibri" w:hAnsi="Calibri" w:eastAsia="CESI仿宋-GB2312" w:cs="Calibri"/>
          <w:color w:val="000000"/>
          <w:sz w:val="30"/>
          <w:szCs w:val="30"/>
          <w:lang w:val="en-US" w:eastAsia="zh-CN"/>
        </w:rPr>
      </w:pPr>
      <w:r>
        <w:rPr>
          <w:rFonts w:hint="eastAsia" w:ascii="仿宋" w:hAnsi="仿宋" w:eastAsia="仿宋" w:cs="Times New Roman"/>
          <w:sz w:val="30"/>
          <w:szCs w:val="30"/>
        </w:rPr>
        <w:t>签字日期：___年__月__日</w:t>
      </w:r>
      <w:r>
        <w:rPr>
          <w:rFonts w:hint="eastAsia" w:ascii="仿宋" w:hAnsi="仿宋" w:eastAsia="仿宋" w:cs="Times New Roman"/>
          <w:sz w:val="30"/>
          <w:szCs w:val="30"/>
          <w:lang w:val="en-US" w:eastAsia="zh-CN"/>
        </w:rPr>
        <w:t xml:space="preserve">   </w:t>
      </w:r>
      <w:r>
        <w:rPr>
          <w:rFonts w:hint="eastAsia" w:ascii="仿宋" w:hAnsi="仿宋" w:eastAsia="仿宋" w:cs="Times New Roman"/>
          <w:sz w:val="30"/>
          <w:szCs w:val="30"/>
        </w:rPr>
        <w:t>签字日期：___年__月__日</w:t>
      </w:r>
    </w:p>
    <w:p>
      <w:pPr>
        <w:pStyle w:val="10"/>
        <w:keepNext w:val="0"/>
        <w:keepLines w:val="0"/>
        <w:pageBreakBefore w:val="0"/>
        <w:tabs>
          <w:tab w:val="left" w:pos="911"/>
        </w:tabs>
        <w:kinsoku/>
        <w:wordWrap/>
        <w:overflowPunct/>
        <w:topLinePunct w:val="0"/>
        <w:bidi w:val="0"/>
        <w:snapToGrid/>
        <w:spacing w:line="540" w:lineRule="exact"/>
        <w:textAlignment w:val="auto"/>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附件3：</w:t>
      </w:r>
    </w:p>
    <w:p>
      <w:pPr>
        <w:pStyle w:val="10"/>
        <w:keepNext w:val="0"/>
        <w:keepLines w:val="0"/>
        <w:pageBreakBefore w:val="0"/>
        <w:kinsoku/>
        <w:wordWrap/>
        <w:overflowPunct/>
        <w:topLinePunct w:val="0"/>
        <w:bidi w:val="0"/>
        <w:snapToGrid/>
        <w:spacing w:line="540" w:lineRule="exact"/>
        <w:jc w:val="center"/>
        <w:textAlignment w:val="auto"/>
        <w:rPr>
          <w:rFonts w:hint="eastAsia" w:ascii="CESI仿宋-GB2312" w:hAnsi="CESI仿宋-GB2312" w:eastAsia="CESI仿宋-GB2312"/>
          <w:b/>
          <w:bCs/>
          <w:color w:val="000000"/>
          <w:sz w:val="36"/>
          <w:szCs w:val="36"/>
        </w:rPr>
      </w:pPr>
    </w:p>
    <w:p>
      <w:pPr>
        <w:pStyle w:val="10"/>
        <w:keepNext w:val="0"/>
        <w:keepLines w:val="0"/>
        <w:pageBreakBefore w:val="0"/>
        <w:kinsoku/>
        <w:wordWrap/>
        <w:overflowPunct/>
        <w:topLinePunct w:val="0"/>
        <w:bidi w:val="0"/>
        <w:snapToGrid/>
        <w:spacing w:line="540" w:lineRule="exact"/>
        <w:jc w:val="center"/>
        <w:textAlignment w:val="auto"/>
        <w:rPr>
          <w:rFonts w:hint="eastAsia" w:ascii="CESI仿宋-GB2312" w:hAnsi="CESI仿宋-GB2312" w:eastAsia="CESI仿宋-GB2312"/>
          <w:b/>
          <w:bCs/>
          <w:color w:val="000000"/>
          <w:sz w:val="44"/>
          <w:szCs w:val="44"/>
        </w:rPr>
      </w:pPr>
      <w:r>
        <w:rPr>
          <w:rFonts w:hint="eastAsia" w:ascii="Calibri" w:hAnsi="Calibri" w:eastAsia="CESI仿宋-GB2312" w:cs="Calibri"/>
          <w:b/>
          <w:bCs/>
          <w:color w:val="000000"/>
          <w:sz w:val="44"/>
          <w:szCs w:val="44"/>
          <w:lang w:val="en-US" w:eastAsia="zh-CN"/>
        </w:rPr>
        <w:t>查询并导出</w:t>
      </w:r>
      <w:r>
        <w:rPr>
          <w:rFonts w:hint="eastAsia" w:ascii="CESI仿宋-GB2312" w:hAnsi="CESI仿宋-GB2312" w:eastAsia="CESI仿宋-GB2312"/>
          <w:b/>
          <w:bCs/>
          <w:color w:val="000000"/>
          <w:sz w:val="44"/>
          <w:szCs w:val="44"/>
        </w:rPr>
        <w:t>中选产品</w:t>
      </w:r>
      <w:r>
        <w:rPr>
          <w:rFonts w:hint="eastAsia" w:ascii="CESI仿宋-GB2312" w:hAnsi="CESI仿宋-GB2312" w:eastAsia="CESI仿宋-GB2312"/>
          <w:b/>
          <w:bCs/>
          <w:color w:val="000000"/>
          <w:sz w:val="44"/>
          <w:szCs w:val="44"/>
          <w:lang w:eastAsia="zh-CN"/>
        </w:rPr>
        <w:t>清单和</w:t>
      </w:r>
      <w:r>
        <w:rPr>
          <w:rFonts w:hint="eastAsia" w:ascii="CESI仿宋-GB2312" w:hAnsi="CESI仿宋-GB2312" w:eastAsia="CESI仿宋-GB2312"/>
          <w:b/>
          <w:bCs/>
          <w:color w:val="000000"/>
          <w:sz w:val="44"/>
          <w:szCs w:val="44"/>
        </w:rPr>
        <w:t>协议采购量</w:t>
      </w:r>
    </w:p>
    <w:p>
      <w:pPr>
        <w:pStyle w:val="10"/>
        <w:keepNext w:val="0"/>
        <w:keepLines w:val="0"/>
        <w:pageBreakBefore w:val="0"/>
        <w:kinsoku/>
        <w:wordWrap/>
        <w:overflowPunct/>
        <w:topLinePunct w:val="0"/>
        <w:bidi w:val="0"/>
        <w:snapToGrid/>
        <w:spacing w:line="540" w:lineRule="exact"/>
        <w:jc w:val="center"/>
        <w:textAlignment w:val="auto"/>
        <w:rPr>
          <w:rFonts w:hint="eastAsia" w:ascii="Calibri" w:hAnsi="Calibri" w:eastAsia="CESI仿宋-GB2312" w:cs="Calibri"/>
          <w:b/>
          <w:bCs/>
          <w:color w:val="000000"/>
          <w:sz w:val="44"/>
          <w:szCs w:val="44"/>
          <w:lang w:val="en-US" w:eastAsia="zh-CN"/>
        </w:rPr>
      </w:pPr>
      <w:r>
        <w:rPr>
          <w:rFonts w:hint="eastAsia" w:ascii="CESI仿宋-GB2312" w:hAnsi="CESI仿宋-GB2312" w:eastAsia="CESI仿宋-GB2312"/>
          <w:b/>
          <w:bCs/>
          <w:color w:val="000000"/>
          <w:sz w:val="44"/>
          <w:szCs w:val="44"/>
          <w:lang w:eastAsia="zh-CN"/>
        </w:rPr>
        <w:t>操作</w:t>
      </w:r>
      <w:r>
        <w:rPr>
          <w:rFonts w:hint="eastAsia" w:ascii="Calibri" w:hAnsi="Calibri" w:eastAsia="CESI仿宋-GB2312" w:cs="Calibri"/>
          <w:b/>
          <w:bCs/>
          <w:color w:val="000000"/>
          <w:sz w:val="44"/>
          <w:szCs w:val="44"/>
          <w:lang w:val="en-US" w:eastAsia="zh-CN"/>
        </w:rPr>
        <w:t>指南</w:t>
      </w:r>
    </w:p>
    <w:p>
      <w:pPr>
        <w:pStyle w:val="10"/>
        <w:keepNext w:val="0"/>
        <w:keepLines w:val="0"/>
        <w:pageBreakBefore w:val="0"/>
        <w:numPr>
          <w:ilvl w:val="0"/>
          <w:numId w:val="0"/>
        </w:numPr>
        <w:kinsoku/>
        <w:wordWrap/>
        <w:overflowPunct/>
        <w:topLinePunct w:val="0"/>
        <w:bidi w:val="0"/>
        <w:snapToGrid/>
        <w:spacing w:line="540" w:lineRule="exact"/>
        <w:jc w:val="both"/>
        <w:textAlignment w:val="auto"/>
        <w:rPr>
          <w:rFonts w:hint="eastAsia" w:ascii="CESI仿宋-GB2312" w:hAnsi="CESI仿宋-GB2312" w:eastAsia="CESI仿宋-GB2312" w:cs="CESI仿宋-GB2312"/>
          <w:b/>
          <w:bCs/>
          <w:color w:val="auto"/>
          <w:sz w:val="32"/>
          <w:szCs w:val="32"/>
          <w:highlight w:val="none"/>
          <w:lang w:val="en-US" w:eastAsia="zh-CN"/>
        </w:rPr>
      </w:pPr>
    </w:p>
    <w:p>
      <w:pPr>
        <w:pStyle w:val="10"/>
        <w:keepNext w:val="0"/>
        <w:keepLines w:val="0"/>
        <w:pageBreakBefore w:val="0"/>
        <w:numPr>
          <w:ilvl w:val="0"/>
          <w:numId w:val="0"/>
        </w:numPr>
        <w:kinsoku/>
        <w:wordWrap/>
        <w:overflowPunct/>
        <w:topLinePunct w:val="0"/>
        <w:bidi w:val="0"/>
        <w:snapToGrid/>
        <w:spacing w:line="540" w:lineRule="exact"/>
        <w:ind w:firstLine="640" w:firstLineChars="200"/>
        <w:jc w:val="both"/>
        <w:textAlignment w:val="auto"/>
        <w:rPr>
          <w:rFonts w:hint="eastAsia" w:ascii="CESI仿宋-GB2312" w:hAnsi="CESI仿宋-GB2312" w:eastAsia="CESI仿宋-GB2312" w:cs="CESI仿宋-GB2312"/>
          <w:color w:val="auto"/>
          <w:sz w:val="32"/>
          <w:szCs w:val="32"/>
          <w:highlight w:val="none"/>
          <w:lang w:eastAsia="zh-CN"/>
        </w:rPr>
      </w:pPr>
      <w:r>
        <w:rPr>
          <w:rFonts w:hint="eastAsia" w:ascii="CESI仿宋-GB2312" w:hAnsi="CESI仿宋-GB2312" w:eastAsia="CESI仿宋-GB2312" w:cs="CESI仿宋-GB2312"/>
          <w:b/>
          <w:bCs/>
          <w:color w:val="auto"/>
          <w:sz w:val="32"/>
          <w:szCs w:val="32"/>
          <w:highlight w:val="none"/>
          <w:lang w:val="en-US" w:eastAsia="zh-CN"/>
        </w:rPr>
        <w:t>集采类医用耗材：</w:t>
      </w:r>
      <w:r>
        <w:rPr>
          <w:rFonts w:hint="eastAsia" w:ascii="CESI仿宋-GB2312" w:hAnsi="CESI仿宋-GB2312" w:eastAsia="CESI仿宋-GB2312" w:cs="CESI仿宋-GB2312"/>
          <w:b w:val="0"/>
          <w:bCs w:val="0"/>
          <w:color w:val="auto"/>
          <w:sz w:val="32"/>
          <w:szCs w:val="32"/>
          <w:highlight w:val="none"/>
          <w:lang w:val="en-US" w:eastAsia="zh-CN"/>
        </w:rPr>
        <w:t>需</w:t>
      </w:r>
      <w:r>
        <w:rPr>
          <w:rFonts w:hint="eastAsia" w:ascii="CESI仿宋-GB2312" w:hAnsi="CESI仿宋-GB2312" w:eastAsia="CESI仿宋-GB2312" w:cs="CESI仿宋-GB2312"/>
          <w:sz w:val="32"/>
          <w:szCs w:val="32"/>
          <w:highlight w:val="none"/>
          <w:lang w:eastAsia="zh-CN"/>
        </w:rPr>
        <w:t>登录</w:t>
      </w:r>
      <w:r>
        <w:rPr>
          <w:rFonts w:hint="eastAsia" w:ascii="CESI仿宋-GB2312" w:hAnsi="CESI仿宋-GB2312" w:eastAsia="CESI仿宋-GB2312" w:cs="CESI仿宋-GB2312"/>
          <w:b w:val="0"/>
          <w:bCs w:val="0"/>
          <w:color w:val="auto"/>
          <w:sz w:val="32"/>
          <w:szCs w:val="32"/>
          <w:highlight w:val="none"/>
          <w:lang w:eastAsia="zh-CN"/>
        </w:rPr>
        <w:t>辽宁省</w:t>
      </w:r>
      <w:r>
        <w:rPr>
          <w:rFonts w:hint="eastAsia" w:ascii="CESI仿宋-GB2312" w:hAnsi="CESI仿宋-GB2312" w:eastAsia="CESI仿宋-GB2312" w:cs="CESI仿宋-GB2312"/>
          <w:color w:val="auto"/>
          <w:sz w:val="32"/>
          <w:szCs w:val="32"/>
          <w:highlight w:val="none"/>
          <w:lang w:eastAsia="zh-CN"/>
        </w:rPr>
        <w:t>医保服务平台</w:t>
      </w:r>
      <w:r>
        <w:rPr>
          <w:rFonts w:hint="eastAsia" w:ascii="CESI仿宋-GB2312" w:hAnsi="CESI仿宋-GB2312" w:eastAsia="CESI仿宋-GB2312" w:cs="CESI仿宋-GB2312"/>
          <w:color w:val="auto"/>
          <w:sz w:val="32"/>
          <w:szCs w:val="32"/>
          <w:highlight w:val="none"/>
        </w:rPr>
        <w:t>药品</w:t>
      </w:r>
      <w:r>
        <w:rPr>
          <w:rFonts w:hint="eastAsia" w:ascii="CESI仿宋-GB2312" w:hAnsi="CESI仿宋-GB2312" w:eastAsia="CESI仿宋-GB2312" w:cs="CESI仿宋-GB2312"/>
          <w:color w:val="auto"/>
          <w:sz w:val="32"/>
          <w:szCs w:val="32"/>
          <w:highlight w:val="none"/>
          <w:lang w:eastAsia="zh-CN"/>
        </w:rPr>
        <w:t>和</w:t>
      </w:r>
      <w:r>
        <w:rPr>
          <w:rFonts w:hint="eastAsia" w:ascii="CESI仿宋-GB2312" w:hAnsi="CESI仿宋-GB2312" w:eastAsia="CESI仿宋-GB2312" w:cs="CESI仿宋-GB2312"/>
          <w:color w:val="auto"/>
          <w:sz w:val="32"/>
          <w:szCs w:val="32"/>
          <w:highlight w:val="none"/>
        </w:rPr>
        <w:t>耗材招采</w:t>
      </w:r>
      <w:r>
        <w:rPr>
          <w:rFonts w:hint="eastAsia" w:ascii="CESI仿宋-GB2312" w:hAnsi="CESI仿宋-GB2312" w:eastAsia="CESI仿宋-GB2312" w:cs="CESI仿宋-GB2312"/>
          <w:color w:val="auto"/>
          <w:sz w:val="32"/>
          <w:szCs w:val="32"/>
          <w:highlight w:val="none"/>
          <w:lang w:eastAsia="zh-CN"/>
        </w:rPr>
        <w:t>管理</w:t>
      </w:r>
      <w:r>
        <w:rPr>
          <w:rFonts w:hint="eastAsia" w:ascii="CESI仿宋-GB2312" w:hAnsi="CESI仿宋-GB2312" w:eastAsia="CESI仿宋-GB2312" w:cs="CESI仿宋-GB2312"/>
          <w:color w:val="auto"/>
          <w:sz w:val="32"/>
          <w:szCs w:val="32"/>
          <w:highlight w:val="none"/>
        </w:rPr>
        <w:t>子系统</w:t>
      </w:r>
      <w:r>
        <w:rPr>
          <w:rFonts w:hint="eastAsia" w:ascii="CESI仿宋-GB2312" w:hAnsi="CESI仿宋-GB2312" w:eastAsia="CESI仿宋-GB2312" w:cs="CESI仿宋-GB2312"/>
          <w:color w:val="auto"/>
          <w:sz w:val="32"/>
          <w:szCs w:val="32"/>
          <w:highlight w:val="none"/>
          <w:lang w:eastAsia="zh-CN"/>
        </w:rPr>
        <w:t>查询。</w:t>
      </w:r>
    </w:p>
    <w:p>
      <w:pPr>
        <w:pStyle w:val="10"/>
        <w:keepNext w:val="0"/>
        <w:keepLines w:val="0"/>
        <w:pageBreakBefore w:val="0"/>
        <w:numPr>
          <w:ilvl w:val="0"/>
          <w:numId w:val="0"/>
        </w:numPr>
        <w:kinsoku/>
        <w:wordWrap/>
        <w:overflowPunct/>
        <w:topLinePunct w:val="0"/>
        <w:bidi w:val="0"/>
        <w:snapToGrid/>
        <w:spacing w:line="540" w:lineRule="exact"/>
        <w:ind w:firstLine="640" w:firstLineChars="200"/>
        <w:jc w:val="both"/>
        <w:textAlignment w:val="auto"/>
        <w:rPr>
          <w:rFonts w:hint="default" w:ascii="CESI仿宋-GB2312" w:hAnsi="CESI仿宋-GB2312" w:eastAsia="CESI仿宋-GB2312" w:cs="CESI仿宋-GB2312"/>
          <w:b/>
          <w:bCs/>
          <w:sz w:val="32"/>
          <w:szCs w:val="32"/>
          <w:highlight w:val="none"/>
          <w:lang w:val="en-US" w:eastAsia="zh-CN"/>
        </w:rPr>
      </w:pPr>
      <w:r>
        <w:rPr>
          <w:rFonts w:hint="eastAsia" w:ascii="CESI仿宋-GB2312" w:hAnsi="CESI仿宋-GB2312" w:eastAsia="CESI仿宋-GB2312" w:cs="CESI仿宋-GB2312"/>
          <w:b/>
          <w:bCs/>
          <w:sz w:val="32"/>
          <w:szCs w:val="32"/>
          <w:highlight w:val="none"/>
          <w:lang w:eastAsia="zh-CN"/>
        </w:rPr>
        <w:t>各市医疗保障局和医疗机构</w:t>
      </w:r>
      <w:r>
        <w:rPr>
          <w:rFonts w:hint="eastAsia" w:ascii="CESI仿宋-GB2312" w:hAnsi="CESI仿宋-GB2312" w:eastAsia="CESI仿宋-GB2312" w:cs="CESI仿宋-GB2312"/>
          <w:sz w:val="32"/>
          <w:szCs w:val="32"/>
          <w:highlight w:val="none"/>
          <w:lang w:eastAsia="zh-CN"/>
        </w:rPr>
        <w:t>通过本单位帐号</w:t>
      </w:r>
      <w:r>
        <w:rPr>
          <w:rFonts w:hint="eastAsia" w:ascii="CESI仿宋-GB2312" w:hAnsi="CESI仿宋-GB2312" w:eastAsia="CESI仿宋-GB2312" w:cs="CESI仿宋-GB2312"/>
          <w:color w:val="auto"/>
          <w:sz w:val="32"/>
          <w:szCs w:val="32"/>
          <w:highlight w:val="none"/>
        </w:rPr>
        <w:t>登录</w:t>
      </w:r>
      <w:r>
        <w:rPr>
          <w:rFonts w:hint="eastAsia" w:ascii="CESI仿宋-GB2312" w:hAnsi="CESI仿宋-GB2312" w:eastAsia="CESI仿宋-GB2312" w:cs="CESI仿宋-GB2312"/>
          <w:sz w:val="32"/>
          <w:szCs w:val="32"/>
          <w:highlight w:val="none"/>
          <w:lang w:eastAsia="zh-CN"/>
        </w:rPr>
        <w:t>网址：</w:t>
      </w:r>
      <w:r>
        <w:rPr>
          <w:rFonts w:hint="eastAsia" w:ascii="CESI仿宋-GB2312" w:hAnsi="CESI仿宋-GB2312" w:eastAsia="CESI仿宋-GB2312" w:cs="CESI仿宋-GB2312"/>
          <w:color w:val="auto"/>
          <w:sz w:val="32"/>
          <w:szCs w:val="32"/>
          <w:highlight w:val="none"/>
          <w:u w:val="none"/>
          <w:lang w:eastAsia="zh-CN"/>
        </w:rPr>
        <w:fldChar w:fldCharType="begin"/>
      </w:r>
      <w:r>
        <w:rPr>
          <w:rFonts w:hint="eastAsia" w:ascii="CESI仿宋-GB2312" w:hAnsi="CESI仿宋-GB2312" w:eastAsia="CESI仿宋-GB2312" w:cs="CESI仿宋-GB2312"/>
          <w:color w:val="auto"/>
          <w:sz w:val="32"/>
          <w:szCs w:val="32"/>
          <w:highlight w:val="none"/>
          <w:u w:val="none"/>
          <w:lang w:eastAsia="zh-CN"/>
        </w:rPr>
        <w:instrText xml:space="preserve"> HYPERLINK "https://ggfw.ybj.ln.gov.cn/tps-web/login，" </w:instrText>
      </w:r>
      <w:r>
        <w:rPr>
          <w:rFonts w:hint="eastAsia" w:ascii="CESI仿宋-GB2312" w:hAnsi="CESI仿宋-GB2312" w:eastAsia="CESI仿宋-GB2312" w:cs="CESI仿宋-GB2312"/>
          <w:color w:val="auto"/>
          <w:sz w:val="32"/>
          <w:szCs w:val="32"/>
          <w:highlight w:val="none"/>
          <w:u w:val="none"/>
          <w:lang w:eastAsia="zh-CN"/>
        </w:rPr>
        <w:fldChar w:fldCharType="separate"/>
      </w:r>
      <w:r>
        <w:rPr>
          <w:rStyle w:val="7"/>
          <w:rFonts w:hint="eastAsia" w:ascii="CESI仿宋-GB2312" w:hAnsi="CESI仿宋-GB2312" w:eastAsia="CESI仿宋-GB2312" w:cs="CESI仿宋-GB2312"/>
          <w:color w:val="auto"/>
          <w:sz w:val="32"/>
          <w:szCs w:val="32"/>
          <w:highlight w:val="none"/>
          <w:u w:val="none"/>
          <w:lang w:eastAsia="zh-CN"/>
        </w:rPr>
        <w:t>https://ggfw.ybj.ln.gov.cn/tps-web/login；</w:t>
      </w:r>
      <w:r>
        <w:rPr>
          <w:rFonts w:hint="eastAsia" w:ascii="CESI仿宋-GB2312" w:hAnsi="CESI仿宋-GB2312" w:eastAsia="CESI仿宋-GB2312" w:cs="CESI仿宋-GB2312"/>
          <w:color w:val="auto"/>
          <w:sz w:val="32"/>
          <w:szCs w:val="32"/>
          <w:highlight w:val="none"/>
          <w:u w:val="none"/>
          <w:lang w:eastAsia="zh-CN"/>
        </w:rPr>
        <w:fldChar w:fldCharType="end"/>
      </w:r>
      <w:r>
        <w:rPr>
          <w:rFonts w:hint="eastAsia" w:ascii="CESI仿宋-GB2312" w:hAnsi="CESI仿宋-GB2312" w:eastAsia="CESI仿宋-GB2312" w:cs="CESI仿宋-GB2312"/>
          <w:color w:val="auto"/>
          <w:sz w:val="32"/>
          <w:szCs w:val="32"/>
          <w:highlight w:val="none"/>
        </w:rPr>
        <w:t>登录</w:t>
      </w:r>
      <w:r>
        <w:rPr>
          <w:rFonts w:hint="eastAsia" w:ascii="CESI仿宋-GB2312" w:hAnsi="CESI仿宋-GB2312" w:eastAsia="CESI仿宋-GB2312" w:cs="CESI仿宋-GB2312"/>
          <w:color w:val="auto"/>
          <w:sz w:val="32"/>
          <w:szCs w:val="32"/>
          <w:highlight w:val="none"/>
          <w:lang w:eastAsia="zh-CN"/>
        </w:rPr>
        <w:t>后</w:t>
      </w:r>
      <w:r>
        <w:rPr>
          <w:rFonts w:ascii="仿宋" w:hAnsi="仿宋" w:eastAsia="仿宋" w:cs="仿宋"/>
          <w:i w:val="0"/>
          <w:iCs w:val="0"/>
          <w:caps w:val="0"/>
          <w:color w:val="auto"/>
          <w:spacing w:val="0"/>
          <w:sz w:val="31"/>
          <w:szCs w:val="31"/>
          <w:highlight w:val="none"/>
          <w:shd w:val="clear" w:fill="FFFFFF"/>
        </w:rPr>
        <w:t>点击“</w:t>
      </w:r>
      <w:r>
        <w:rPr>
          <w:rFonts w:hint="eastAsia" w:ascii="仿宋" w:hAnsi="仿宋" w:eastAsia="仿宋" w:cs="仿宋"/>
          <w:i w:val="0"/>
          <w:iCs w:val="0"/>
          <w:caps w:val="0"/>
          <w:color w:val="auto"/>
          <w:spacing w:val="0"/>
          <w:sz w:val="31"/>
          <w:szCs w:val="31"/>
          <w:highlight w:val="none"/>
          <w:shd w:val="clear" w:fill="FFFFFF"/>
        </w:rPr>
        <w:t>耗材交易结算</w:t>
      </w:r>
      <w:r>
        <w:rPr>
          <w:rFonts w:ascii="仿宋" w:hAnsi="仿宋" w:eastAsia="仿宋" w:cs="仿宋"/>
          <w:i w:val="0"/>
          <w:iCs w:val="0"/>
          <w:caps w:val="0"/>
          <w:color w:val="auto"/>
          <w:spacing w:val="0"/>
          <w:sz w:val="31"/>
          <w:szCs w:val="31"/>
          <w:highlight w:val="none"/>
          <w:shd w:val="clear" w:fill="FFFFFF"/>
        </w:rPr>
        <w:t>”模块，选择“</w:t>
      </w:r>
      <w:r>
        <w:rPr>
          <w:rFonts w:hint="eastAsia" w:ascii="仿宋" w:hAnsi="仿宋" w:eastAsia="仿宋" w:cs="仿宋"/>
          <w:i w:val="0"/>
          <w:iCs w:val="0"/>
          <w:caps w:val="0"/>
          <w:color w:val="auto"/>
          <w:spacing w:val="0"/>
          <w:sz w:val="31"/>
          <w:szCs w:val="31"/>
          <w:highlight w:val="none"/>
          <w:shd w:val="clear" w:fill="FFFFFF"/>
          <w:lang w:val="en-US" w:eastAsia="zh-CN"/>
        </w:rPr>
        <w:t>耗材库查询</w:t>
      </w:r>
      <w:r>
        <w:rPr>
          <w:rFonts w:ascii="仿宋" w:hAnsi="仿宋" w:eastAsia="仿宋" w:cs="仿宋"/>
          <w:i w:val="0"/>
          <w:iCs w:val="0"/>
          <w:caps w:val="0"/>
          <w:color w:val="auto"/>
          <w:spacing w:val="0"/>
          <w:sz w:val="31"/>
          <w:szCs w:val="31"/>
          <w:highlight w:val="none"/>
          <w:shd w:val="clear" w:fill="FFFFFF"/>
        </w:rPr>
        <w:t>”菜单</w:t>
      </w:r>
      <w:r>
        <w:rPr>
          <w:rFonts w:hint="eastAsia" w:ascii="CESI仿宋-GB2312" w:hAnsi="CESI仿宋-GB2312" w:eastAsia="CESI仿宋-GB2312" w:cs="CESI仿宋-GB2312"/>
          <w:color w:val="auto"/>
          <w:sz w:val="32"/>
          <w:szCs w:val="32"/>
          <w:highlight w:val="none"/>
          <w:lang w:eastAsia="zh-CN"/>
        </w:rPr>
        <w:t>查询</w:t>
      </w:r>
      <w:r>
        <w:rPr>
          <w:rFonts w:hint="eastAsia" w:ascii="CESI仿宋-GB2312" w:hAnsi="CESI仿宋-GB2312" w:eastAsia="CESI仿宋-GB2312" w:cs="CESI仿宋-GB2312"/>
          <w:sz w:val="32"/>
          <w:szCs w:val="32"/>
          <w:highlight w:val="none"/>
        </w:rPr>
        <w:t>中选产品供应清单</w:t>
      </w:r>
      <w:r>
        <w:rPr>
          <w:rFonts w:hint="eastAsia" w:ascii="CESI仿宋-GB2312" w:hAnsi="CESI仿宋-GB2312" w:eastAsia="CESI仿宋-GB2312" w:cs="CESI仿宋-GB2312"/>
          <w:sz w:val="32"/>
          <w:szCs w:val="32"/>
          <w:highlight w:val="none"/>
          <w:lang w:eastAsia="zh-CN"/>
        </w:rPr>
        <w:t>，</w:t>
      </w:r>
      <w:r>
        <w:rPr>
          <w:rFonts w:hint="eastAsia" w:ascii="CESI仿宋-GB2312" w:hAnsi="CESI仿宋-GB2312" w:eastAsia="CESI仿宋-GB2312" w:cs="CESI仿宋-GB2312"/>
          <w:b/>
          <w:bCs/>
          <w:sz w:val="32"/>
          <w:szCs w:val="32"/>
          <w:highlight w:val="none"/>
          <w:lang w:eastAsia="zh-CN"/>
        </w:rPr>
        <w:t>各市医疗保障局和医疗机构</w:t>
      </w:r>
      <w:r>
        <w:rPr>
          <w:rFonts w:hint="eastAsia" w:ascii="CESI仿宋-GB2312" w:hAnsi="CESI仿宋-GB2312" w:eastAsia="CESI仿宋-GB2312" w:cs="CESI仿宋-GB2312"/>
          <w:b w:val="0"/>
          <w:bCs w:val="0"/>
          <w:sz w:val="32"/>
          <w:szCs w:val="32"/>
          <w:highlight w:val="none"/>
          <w:lang w:val="en-US" w:eastAsia="zh-CN"/>
        </w:rPr>
        <w:t>可导出全部中选产品清单</w:t>
      </w:r>
      <w:r>
        <w:rPr>
          <w:rFonts w:hint="eastAsia" w:ascii="CESI仿宋-GB2312" w:hAnsi="CESI仿宋-GB2312" w:eastAsia="CESI仿宋-GB2312" w:cs="CESI仿宋-GB2312"/>
          <w:b/>
          <w:bCs/>
          <w:sz w:val="32"/>
          <w:szCs w:val="32"/>
          <w:highlight w:val="none"/>
          <w:lang w:val="en-US" w:eastAsia="zh-CN"/>
        </w:rPr>
        <w:t>。</w:t>
      </w:r>
      <w:r>
        <w:rPr>
          <w:rFonts w:ascii="仿宋" w:hAnsi="仿宋" w:eastAsia="仿宋" w:cs="仿宋"/>
          <w:i w:val="0"/>
          <w:iCs w:val="0"/>
          <w:caps w:val="0"/>
          <w:color w:val="auto"/>
          <w:spacing w:val="0"/>
          <w:sz w:val="31"/>
          <w:szCs w:val="31"/>
          <w:highlight w:val="none"/>
          <w:shd w:val="clear" w:fill="FFFFFF"/>
        </w:rPr>
        <w:t>选择“</w:t>
      </w:r>
      <w:r>
        <w:rPr>
          <w:rFonts w:hint="eastAsia" w:ascii="仿宋" w:hAnsi="仿宋" w:eastAsia="仿宋" w:cs="仿宋"/>
          <w:i w:val="0"/>
          <w:iCs w:val="0"/>
          <w:caps w:val="0"/>
          <w:color w:val="auto"/>
          <w:spacing w:val="0"/>
          <w:sz w:val="31"/>
          <w:szCs w:val="31"/>
          <w:highlight w:val="none"/>
          <w:shd w:val="clear" w:fill="FFFFFF"/>
        </w:rPr>
        <w:t>带量采购管理</w:t>
      </w:r>
      <w:r>
        <w:rPr>
          <w:rFonts w:ascii="仿宋" w:hAnsi="仿宋" w:eastAsia="仿宋" w:cs="仿宋"/>
          <w:i w:val="0"/>
          <w:iCs w:val="0"/>
          <w:caps w:val="0"/>
          <w:color w:val="auto"/>
          <w:spacing w:val="0"/>
          <w:sz w:val="31"/>
          <w:szCs w:val="31"/>
          <w:highlight w:val="none"/>
          <w:shd w:val="clear" w:fill="FFFFFF"/>
        </w:rPr>
        <w:t>”菜单</w:t>
      </w:r>
      <w:r>
        <w:rPr>
          <w:rFonts w:hint="eastAsia" w:ascii="仿宋" w:hAnsi="仿宋" w:eastAsia="仿宋" w:cs="仿宋"/>
          <w:i w:val="0"/>
          <w:iCs w:val="0"/>
          <w:caps w:val="0"/>
          <w:color w:val="auto"/>
          <w:spacing w:val="0"/>
          <w:sz w:val="31"/>
          <w:szCs w:val="31"/>
          <w:highlight w:val="none"/>
          <w:shd w:val="clear" w:fill="FFFFFF"/>
          <w:lang w:val="en-US" w:eastAsia="zh-CN"/>
        </w:rPr>
        <w:t>查询协议采购量信息。</w:t>
      </w:r>
      <w:r>
        <w:rPr>
          <w:rFonts w:hint="eastAsia" w:ascii="CESI仿宋-GB2312" w:hAnsi="CESI仿宋-GB2312" w:eastAsia="CESI仿宋-GB2312" w:cs="CESI仿宋-GB2312"/>
          <w:b/>
          <w:bCs/>
          <w:sz w:val="32"/>
          <w:szCs w:val="32"/>
          <w:highlight w:val="none"/>
          <w:lang w:eastAsia="zh-CN"/>
        </w:rPr>
        <w:t>各市医疗保障局</w:t>
      </w:r>
      <w:r>
        <w:rPr>
          <w:rFonts w:hint="eastAsia" w:ascii="CESI仿宋-GB2312" w:hAnsi="CESI仿宋-GB2312" w:eastAsia="CESI仿宋-GB2312" w:cs="CESI仿宋-GB2312"/>
          <w:b w:val="0"/>
          <w:bCs w:val="0"/>
          <w:sz w:val="32"/>
          <w:szCs w:val="32"/>
          <w:highlight w:val="none"/>
          <w:lang w:val="en-US" w:eastAsia="zh-CN"/>
        </w:rPr>
        <w:t>可以导出本辖区内医疗机构协议采购量信息</w:t>
      </w:r>
      <w:r>
        <w:rPr>
          <w:rFonts w:hint="eastAsia" w:ascii="CESI仿宋-GB2312" w:hAnsi="CESI仿宋-GB2312" w:eastAsia="CESI仿宋-GB2312" w:cs="CESI仿宋-GB2312"/>
          <w:b/>
          <w:bCs/>
          <w:sz w:val="32"/>
          <w:szCs w:val="32"/>
          <w:highlight w:val="none"/>
          <w:lang w:val="en-US" w:eastAsia="zh-CN"/>
        </w:rPr>
        <w:t>。</w:t>
      </w:r>
    </w:p>
    <w:p>
      <w:pPr>
        <w:pStyle w:val="10"/>
        <w:keepNext w:val="0"/>
        <w:keepLines w:val="0"/>
        <w:pageBreakBefore w:val="0"/>
        <w:numPr>
          <w:ilvl w:val="0"/>
          <w:numId w:val="0"/>
        </w:numPr>
        <w:kinsoku/>
        <w:wordWrap/>
        <w:overflowPunct/>
        <w:topLinePunct w:val="0"/>
        <w:bidi w:val="0"/>
        <w:snapToGrid/>
        <w:spacing w:line="540" w:lineRule="exact"/>
        <w:ind w:firstLine="640" w:firstLineChars="200"/>
        <w:jc w:val="both"/>
        <w:textAlignment w:val="auto"/>
        <w:rPr>
          <w:rFonts w:hint="eastAsia" w:ascii="仿宋" w:hAnsi="仿宋" w:eastAsia="仿宋" w:cs="仿宋"/>
          <w:i w:val="0"/>
          <w:iCs w:val="0"/>
          <w:caps w:val="0"/>
          <w:color w:val="auto"/>
          <w:spacing w:val="0"/>
          <w:sz w:val="31"/>
          <w:szCs w:val="31"/>
          <w:shd w:val="clear" w:fill="FFFFFF"/>
          <w:lang w:val="en-US" w:eastAsia="zh-CN"/>
        </w:rPr>
      </w:pPr>
      <w:r>
        <w:rPr>
          <w:rFonts w:hint="eastAsia" w:ascii="CESI仿宋-GB2312" w:hAnsi="CESI仿宋-GB2312" w:eastAsia="CESI仿宋-GB2312" w:cs="CESI仿宋-GB2312"/>
          <w:b/>
          <w:bCs/>
          <w:sz w:val="32"/>
          <w:szCs w:val="32"/>
          <w:highlight w:val="none"/>
          <w:lang w:val="en-US" w:eastAsia="zh-CN"/>
        </w:rPr>
        <w:t>中选企业</w:t>
      </w:r>
      <w:r>
        <w:rPr>
          <w:rFonts w:hint="eastAsia" w:ascii="CESI仿宋-GB2312" w:hAnsi="CESI仿宋-GB2312" w:eastAsia="CESI仿宋-GB2312" w:cs="CESI仿宋-GB2312"/>
          <w:sz w:val="32"/>
          <w:szCs w:val="32"/>
          <w:highlight w:val="none"/>
          <w:lang w:val="en-US" w:eastAsia="zh-CN"/>
        </w:rPr>
        <w:t>通过本企业帐号</w:t>
      </w:r>
      <w:r>
        <w:rPr>
          <w:rFonts w:hint="eastAsia" w:ascii="CESI仿宋-GB2312" w:hAnsi="CESI仿宋-GB2312" w:eastAsia="CESI仿宋-GB2312" w:cs="CESI仿宋-GB2312"/>
          <w:color w:val="auto"/>
          <w:sz w:val="32"/>
          <w:szCs w:val="32"/>
          <w:highlight w:val="none"/>
        </w:rPr>
        <w:t>登录</w:t>
      </w:r>
      <w:r>
        <w:rPr>
          <w:rFonts w:hint="eastAsia" w:ascii="CESI仿宋-GB2312" w:hAnsi="CESI仿宋-GB2312" w:eastAsia="CESI仿宋-GB2312" w:cs="CESI仿宋-GB2312"/>
          <w:sz w:val="32"/>
          <w:szCs w:val="32"/>
          <w:highlight w:val="none"/>
          <w:lang w:val="en-US" w:eastAsia="zh-CN"/>
        </w:rPr>
        <w:t>网址：</w:t>
      </w:r>
      <w:r>
        <w:rPr>
          <w:rFonts w:hint="eastAsia" w:ascii="CESI仿宋-GB2312" w:hAnsi="CESI仿宋-GB2312" w:eastAsia="CESI仿宋-GB2312" w:cs="CESI仿宋-GB2312"/>
          <w:sz w:val="32"/>
          <w:szCs w:val="32"/>
          <w:highlight w:val="none"/>
          <w:lang w:eastAsia="zh-CN"/>
        </w:rPr>
        <w:fldChar w:fldCharType="begin"/>
      </w:r>
      <w:r>
        <w:rPr>
          <w:rFonts w:hint="eastAsia" w:ascii="CESI仿宋-GB2312" w:hAnsi="CESI仿宋-GB2312" w:eastAsia="CESI仿宋-GB2312" w:cs="CESI仿宋-GB2312"/>
          <w:sz w:val="32"/>
          <w:szCs w:val="32"/>
          <w:highlight w:val="none"/>
          <w:lang w:eastAsia="zh-CN"/>
        </w:rPr>
        <w:instrText xml:space="preserve"> HYPERLINK "https://ggfw.ybj.ln.gov.cn/lnzc/hsa-local/web/hallEnter/#/unitLogin，简称\“招采管理子系统\”，下同）进行完成操作。" </w:instrText>
      </w:r>
      <w:r>
        <w:rPr>
          <w:rFonts w:hint="eastAsia" w:ascii="CESI仿宋-GB2312" w:hAnsi="CESI仿宋-GB2312" w:eastAsia="CESI仿宋-GB2312" w:cs="CESI仿宋-GB2312"/>
          <w:sz w:val="32"/>
          <w:szCs w:val="32"/>
          <w:highlight w:val="none"/>
          <w:lang w:eastAsia="zh-CN"/>
        </w:rPr>
        <w:fldChar w:fldCharType="separate"/>
      </w:r>
      <w:r>
        <w:rPr>
          <w:rFonts w:hint="eastAsia" w:ascii="CESI仿宋-GB2312" w:hAnsi="CESI仿宋-GB2312" w:eastAsia="CESI仿宋-GB2312" w:cs="CESI仿宋-GB2312"/>
          <w:sz w:val="32"/>
          <w:szCs w:val="32"/>
          <w:highlight w:val="none"/>
          <w:lang w:eastAsia="zh-CN"/>
        </w:rPr>
        <w:t>https://ggfw.ybj.ln.gov.cn/lnzc/hsa-local/web/hallEnter/#/unitLogin，</w:t>
      </w:r>
      <w:r>
        <w:rPr>
          <w:rFonts w:hint="eastAsia" w:ascii="CESI仿宋-GB2312" w:hAnsi="CESI仿宋-GB2312" w:eastAsia="CESI仿宋-GB2312" w:cs="CESI仿宋-GB2312"/>
          <w:sz w:val="32"/>
          <w:szCs w:val="32"/>
          <w:highlight w:val="none"/>
          <w:lang w:eastAsia="zh-CN"/>
        </w:rPr>
        <w:fldChar w:fldCharType="end"/>
      </w:r>
      <w:r>
        <w:rPr>
          <w:rFonts w:hint="eastAsia" w:ascii="CESI仿宋-GB2312" w:hAnsi="CESI仿宋-GB2312" w:eastAsia="CESI仿宋-GB2312" w:cs="CESI仿宋-GB2312"/>
          <w:color w:val="auto"/>
          <w:sz w:val="32"/>
          <w:szCs w:val="32"/>
          <w:highlight w:val="none"/>
        </w:rPr>
        <w:t>登录</w:t>
      </w:r>
      <w:r>
        <w:rPr>
          <w:rFonts w:hint="eastAsia" w:ascii="CESI仿宋-GB2312" w:hAnsi="CESI仿宋-GB2312" w:eastAsia="CESI仿宋-GB2312" w:cs="CESI仿宋-GB2312"/>
          <w:color w:val="auto"/>
          <w:sz w:val="32"/>
          <w:szCs w:val="32"/>
          <w:highlight w:val="none"/>
          <w:lang w:eastAsia="zh-CN"/>
        </w:rPr>
        <w:t>后</w:t>
      </w:r>
      <w:r>
        <w:rPr>
          <w:rFonts w:ascii="仿宋" w:hAnsi="仿宋" w:eastAsia="仿宋" w:cs="仿宋"/>
          <w:i w:val="0"/>
          <w:iCs w:val="0"/>
          <w:caps w:val="0"/>
          <w:color w:val="auto"/>
          <w:spacing w:val="0"/>
          <w:sz w:val="31"/>
          <w:szCs w:val="31"/>
          <w:shd w:val="clear" w:fill="FFFFFF"/>
        </w:rPr>
        <w:t>点击“</w:t>
      </w:r>
      <w:r>
        <w:rPr>
          <w:rFonts w:hint="eastAsia" w:ascii="仿宋" w:hAnsi="仿宋" w:eastAsia="仿宋" w:cs="仿宋"/>
          <w:i w:val="0"/>
          <w:iCs w:val="0"/>
          <w:caps w:val="0"/>
          <w:color w:val="auto"/>
          <w:spacing w:val="0"/>
          <w:sz w:val="31"/>
          <w:szCs w:val="31"/>
          <w:shd w:val="clear" w:fill="FFFFFF"/>
        </w:rPr>
        <w:t>耗材交易结算</w:t>
      </w:r>
      <w:r>
        <w:rPr>
          <w:rFonts w:ascii="仿宋" w:hAnsi="仿宋" w:eastAsia="仿宋" w:cs="仿宋"/>
          <w:i w:val="0"/>
          <w:iCs w:val="0"/>
          <w:caps w:val="0"/>
          <w:color w:val="auto"/>
          <w:spacing w:val="0"/>
          <w:sz w:val="31"/>
          <w:szCs w:val="31"/>
          <w:shd w:val="clear" w:fill="FFFFFF"/>
        </w:rPr>
        <w:t>”模块，选择“</w:t>
      </w:r>
      <w:r>
        <w:rPr>
          <w:rFonts w:hint="eastAsia" w:ascii="仿宋" w:hAnsi="仿宋" w:eastAsia="仿宋" w:cs="仿宋"/>
          <w:i w:val="0"/>
          <w:iCs w:val="0"/>
          <w:caps w:val="0"/>
          <w:color w:val="auto"/>
          <w:spacing w:val="0"/>
          <w:sz w:val="31"/>
          <w:szCs w:val="31"/>
          <w:shd w:val="clear" w:fill="FFFFFF"/>
          <w:lang w:val="en-US" w:eastAsia="zh-CN"/>
        </w:rPr>
        <w:t>耗材库查询</w:t>
      </w:r>
      <w:r>
        <w:rPr>
          <w:rFonts w:ascii="仿宋" w:hAnsi="仿宋" w:eastAsia="仿宋" w:cs="仿宋"/>
          <w:i w:val="0"/>
          <w:iCs w:val="0"/>
          <w:caps w:val="0"/>
          <w:color w:val="auto"/>
          <w:spacing w:val="0"/>
          <w:sz w:val="31"/>
          <w:szCs w:val="31"/>
          <w:shd w:val="clear" w:fill="FFFFFF"/>
        </w:rPr>
        <w:t>”菜单</w:t>
      </w:r>
      <w:r>
        <w:rPr>
          <w:rFonts w:hint="eastAsia" w:ascii="CESI仿宋-GB2312" w:hAnsi="CESI仿宋-GB2312" w:eastAsia="CESI仿宋-GB2312" w:cs="CESI仿宋-GB2312"/>
          <w:color w:val="auto"/>
          <w:sz w:val="32"/>
          <w:szCs w:val="32"/>
          <w:lang w:eastAsia="zh-CN"/>
        </w:rPr>
        <w:t>查询</w:t>
      </w:r>
      <w:r>
        <w:rPr>
          <w:rFonts w:hint="eastAsia" w:ascii="CESI仿宋-GB2312" w:hAnsi="CESI仿宋-GB2312" w:eastAsia="CESI仿宋-GB2312" w:cs="CESI仿宋-GB2312"/>
          <w:sz w:val="32"/>
          <w:szCs w:val="32"/>
        </w:rPr>
        <w:t>中选产品供应清单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b/>
          <w:bCs/>
          <w:sz w:val="32"/>
          <w:szCs w:val="32"/>
          <w:highlight w:val="none"/>
          <w:lang w:val="en-US" w:eastAsia="zh-CN"/>
        </w:rPr>
        <w:t>中选企业</w:t>
      </w:r>
      <w:r>
        <w:rPr>
          <w:rFonts w:hint="eastAsia" w:ascii="CESI仿宋-GB2312" w:hAnsi="CESI仿宋-GB2312" w:eastAsia="CESI仿宋-GB2312" w:cs="CESI仿宋-GB2312"/>
          <w:b w:val="0"/>
          <w:bCs w:val="0"/>
          <w:sz w:val="32"/>
          <w:szCs w:val="32"/>
          <w:highlight w:val="none"/>
          <w:lang w:val="en-US" w:eastAsia="zh-CN"/>
        </w:rPr>
        <w:t>可以导出本企业中选产品清单</w:t>
      </w:r>
      <w:r>
        <w:rPr>
          <w:rFonts w:hint="eastAsia" w:ascii="CESI仿宋-GB2312" w:hAnsi="CESI仿宋-GB2312" w:eastAsia="CESI仿宋-GB2312" w:cs="CESI仿宋-GB2312"/>
          <w:b/>
          <w:bCs/>
          <w:sz w:val="32"/>
          <w:szCs w:val="32"/>
          <w:highlight w:val="none"/>
          <w:lang w:val="en-US" w:eastAsia="zh-CN"/>
        </w:rPr>
        <w:t>。</w:t>
      </w:r>
      <w:r>
        <w:rPr>
          <w:rFonts w:ascii="仿宋" w:hAnsi="仿宋" w:eastAsia="仿宋" w:cs="仿宋"/>
          <w:i w:val="0"/>
          <w:iCs w:val="0"/>
          <w:caps w:val="0"/>
          <w:color w:val="auto"/>
          <w:spacing w:val="0"/>
          <w:sz w:val="31"/>
          <w:szCs w:val="31"/>
          <w:shd w:val="clear" w:fill="FFFFFF"/>
        </w:rPr>
        <w:t>选择“</w:t>
      </w:r>
      <w:r>
        <w:rPr>
          <w:rFonts w:hint="eastAsia" w:ascii="仿宋" w:hAnsi="仿宋" w:eastAsia="仿宋" w:cs="仿宋"/>
          <w:i w:val="0"/>
          <w:iCs w:val="0"/>
          <w:caps w:val="0"/>
          <w:color w:val="auto"/>
          <w:spacing w:val="0"/>
          <w:sz w:val="31"/>
          <w:szCs w:val="31"/>
          <w:shd w:val="clear" w:fill="FFFFFF"/>
        </w:rPr>
        <w:t>带量采购管理</w:t>
      </w:r>
      <w:r>
        <w:rPr>
          <w:rFonts w:ascii="仿宋" w:hAnsi="仿宋" w:eastAsia="仿宋" w:cs="仿宋"/>
          <w:i w:val="0"/>
          <w:iCs w:val="0"/>
          <w:caps w:val="0"/>
          <w:color w:val="auto"/>
          <w:spacing w:val="0"/>
          <w:sz w:val="31"/>
          <w:szCs w:val="31"/>
          <w:shd w:val="clear" w:fill="FFFFFF"/>
        </w:rPr>
        <w:t>”菜单</w:t>
      </w:r>
      <w:r>
        <w:rPr>
          <w:rFonts w:hint="eastAsia" w:ascii="仿宋" w:hAnsi="仿宋" w:eastAsia="仿宋" w:cs="仿宋"/>
          <w:i w:val="0"/>
          <w:iCs w:val="0"/>
          <w:caps w:val="0"/>
          <w:color w:val="auto"/>
          <w:spacing w:val="0"/>
          <w:sz w:val="31"/>
          <w:szCs w:val="31"/>
          <w:shd w:val="clear" w:fill="FFFFFF"/>
          <w:lang w:val="en-US" w:eastAsia="zh-CN"/>
        </w:rPr>
        <w:t>查询协议量信息。</w:t>
      </w:r>
    </w:p>
    <w:p>
      <w:pPr>
        <w:pStyle w:val="10"/>
        <w:keepNext w:val="0"/>
        <w:keepLines w:val="0"/>
        <w:pageBreakBefore w:val="0"/>
        <w:numPr>
          <w:ilvl w:val="0"/>
          <w:numId w:val="0"/>
        </w:numPr>
        <w:kinsoku/>
        <w:wordWrap/>
        <w:overflowPunct/>
        <w:topLinePunct w:val="0"/>
        <w:bidi w:val="0"/>
        <w:snapToGrid/>
        <w:spacing w:line="540" w:lineRule="exact"/>
        <w:ind w:firstLine="620" w:firstLineChars="200"/>
        <w:jc w:val="left"/>
        <w:textAlignment w:val="auto"/>
        <w:rPr>
          <w:rFonts w:hint="eastAsia" w:ascii="仿宋" w:hAnsi="仿宋" w:eastAsia="仿宋" w:cs="仿宋"/>
          <w:i w:val="0"/>
          <w:iCs w:val="0"/>
          <w:caps w:val="0"/>
          <w:color w:val="auto"/>
          <w:spacing w:val="0"/>
          <w:sz w:val="31"/>
          <w:szCs w:val="31"/>
          <w:shd w:val="clear" w:fill="FFFFFF"/>
          <w:lang w:val="en-US" w:eastAsia="zh-CN"/>
        </w:rPr>
      </w:pPr>
    </w:p>
    <w:p>
      <w:pPr>
        <w:jc w:val="both"/>
        <w:rPr>
          <w:rFonts w:ascii="黑体" w:hAnsi="黑体" w:eastAsia="黑体"/>
          <w:sz w:val="32"/>
          <w:szCs w:val="40"/>
        </w:rPr>
      </w:pPr>
    </w:p>
    <w:p>
      <w:pPr>
        <w:pStyle w:val="10"/>
        <w:keepNext w:val="0"/>
        <w:keepLines w:val="0"/>
        <w:pageBreakBefore w:val="0"/>
        <w:numPr>
          <w:ilvl w:val="0"/>
          <w:numId w:val="0"/>
        </w:numPr>
        <w:kinsoku/>
        <w:wordWrap/>
        <w:overflowPunct/>
        <w:topLinePunct w:val="0"/>
        <w:bidi w:val="0"/>
        <w:snapToGrid/>
        <w:spacing w:line="540" w:lineRule="exact"/>
        <w:jc w:val="both"/>
        <w:textAlignment w:val="auto"/>
        <w:rPr>
          <w:rFonts w:hint="eastAsia" w:ascii="仿宋" w:hAnsi="仿宋" w:eastAsia="仿宋" w:cs="仿宋"/>
          <w:b/>
          <w:bCs/>
          <w:i w:val="0"/>
          <w:iCs w:val="0"/>
          <w:caps w:val="0"/>
          <w:color w:val="auto"/>
          <w:spacing w:val="0"/>
          <w:sz w:val="31"/>
          <w:szCs w:val="31"/>
          <w:shd w:val="clear" w:fill="FFFFFF"/>
          <w:lang w:val="en-US" w:eastAsia="zh-CN"/>
        </w:rPr>
      </w:pPr>
      <w:bookmarkStart w:id="1" w:name="_GoBack"/>
      <w:bookmarkEnd w:id="1"/>
    </w:p>
    <w:p>
      <w:pPr>
        <w:jc w:val="both"/>
        <w:rPr>
          <w:rFonts w:ascii="黑体" w:hAnsi="黑体" w:eastAsia="黑体"/>
          <w:sz w:val="32"/>
          <w:szCs w:val="4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w:altName w:val="文泉驿微米黑"/>
    <w:panose1 w:val="00000000000000000000"/>
    <w:charset w:val="86"/>
    <w:family w:val="auto"/>
    <w:pitch w:val="default"/>
    <w:sig w:usb0="00000000" w:usb1="00000000" w:usb2="00000000" w:usb3="00000000" w:csb0="00000000" w:csb1="00000000"/>
  </w:font>
  <w:font w:name="等线">
    <w:altName w:val="文泉驿微米黑"/>
    <w:panose1 w:val="00000000000000000000"/>
    <w:charset w:val="00"/>
    <w:family w:val="auto"/>
    <w:pitch w:val="default"/>
    <w:sig w:usb0="00000000" w:usb1="00000000" w:usb2="00000000" w:usb3="00000000" w:csb0="00000000" w:csb1="00000000"/>
  </w:font>
  <w:font w:name="方正仿宋简体">
    <w:altName w:val="方正仿宋_GBK"/>
    <w:panose1 w:val="020B0604020202020204"/>
    <w:charset w:val="00"/>
    <w:family w:val="script"/>
    <w:pitch w:val="default"/>
    <w:sig w:usb0="00000000" w:usb1="0000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方正楷体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251AD1"/>
    <w:multiLevelType w:val="singleLevel"/>
    <w:tmpl w:val="63251AD1"/>
    <w:lvl w:ilvl="0" w:tentative="0">
      <w:start w:val="4"/>
      <w:numFmt w:val="chineseCounting"/>
      <w:suff w:val="space"/>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098"/>
    <w:rsid w:val="000A5098"/>
    <w:rsid w:val="00147CBD"/>
    <w:rsid w:val="001939E2"/>
    <w:rsid w:val="001D4C1F"/>
    <w:rsid w:val="001D6270"/>
    <w:rsid w:val="001E438B"/>
    <w:rsid w:val="002027A6"/>
    <w:rsid w:val="002340DD"/>
    <w:rsid w:val="00326EED"/>
    <w:rsid w:val="00601456"/>
    <w:rsid w:val="00694992"/>
    <w:rsid w:val="00762F0A"/>
    <w:rsid w:val="007A5664"/>
    <w:rsid w:val="00917B0D"/>
    <w:rsid w:val="00B20B85"/>
    <w:rsid w:val="00B83EFF"/>
    <w:rsid w:val="00C107E1"/>
    <w:rsid w:val="142C4FCE"/>
    <w:rsid w:val="24EB6AAC"/>
    <w:rsid w:val="27CEE198"/>
    <w:rsid w:val="2EFE978A"/>
    <w:rsid w:val="37F73A40"/>
    <w:rsid w:val="3FF27BD9"/>
    <w:rsid w:val="4E37D33C"/>
    <w:rsid w:val="555FF062"/>
    <w:rsid w:val="5C71588A"/>
    <w:rsid w:val="5EFA7CCD"/>
    <w:rsid w:val="5F7D98E6"/>
    <w:rsid w:val="69F77F6E"/>
    <w:rsid w:val="6A9F1E9C"/>
    <w:rsid w:val="6FF27F98"/>
    <w:rsid w:val="6FF770EE"/>
    <w:rsid w:val="6FFF3DDD"/>
    <w:rsid w:val="738FB3FB"/>
    <w:rsid w:val="75FA9F67"/>
    <w:rsid w:val="77FD9556"/>
    <w:rsid w:val="77FEDB96"/>
    <w:rsid w:val="7A6D7753"/>
    <w:rsid w:val="7BEDED24"/>
    <w:rsid w:val="7BFF76DE"/>
    <w:rsid w:val="7DAF49ED"/>
    <w:rsid w:val="7F7D58EC"/>
    <w:rsid w:val="7FEFBB47"/>
    <w:rsid w:val="7FFFC559"/>
    <w:rsid w:val="9D4B5CFF"/>
    <w:rsid w:val="9EE4426C"/>
    <w:rsid w:val="B9B38E90"/>
    <w:rsid w:val="BA7B23C6"/>
    <w:rsid w:val="BED7DE9C"/>
    <w:rsid w:val="D5E76BF6"/>
    <w:rsid w:val="D6FD061B"/>
    <w:rsid w:val="EF67B324"/>
    <w:rsid w:val="EFD72402"/>
    <w:rsid w:val="F57B1C20"/>
    <w:rsid w:val="F75FAFF1"/>
    <w:rsid w:val="F7DF3212"/>
    <w:rsid w:val="FABE5BE5"/>
    <w:rsid w:val="FADB3770"/>
    <w:rsid w:val="FBFEA3F4"/>
    <w:rsid w:val="FDBDE49A"/>
    <w:rsid w:val="FE734873"/>
    <w:rsid w:val="FEF77AEB"/>
    <w:rsid w:val="FEFFC39C"/>
    <w:rsid w:val="FF73E7F7"/>
    <w:rsid w:val="FFFFAA4D"/>
    <w:rsid w:val="FFFFE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6">
    <w:name w:val="Strong"/>
    <w:basedOn w:val="5"/>
    <w:qFormat/>
    <w:uiPriority w:val="22"/>
    <w:rPr>
      <w:b/>
      <w:bCs/>
    </w:rPr>
  </w:style>
  <w:style w:type="character" w:styleId="7">
    <w:name w:val="FollowedHyperlink"/>
    <w:basedOn w:val="5"/>
    <w:semiHidden/>
    <w:unhideWhenUsed/>
    <w:qFormat/>
    <w:uiPriority w:val="99"/>
    <w:rPr>
      <w:color w:val="954F72" w:themeColor="followedHyperlink"/>
      <w:u w:val="single"/>
      <w14:textFill>
        <w14:solidFill>
          <w14:schemeClr w14:val="folHlink"/>
        </w14:solidFill>
      </w14:textFill>
    </w:rPr>
  </w:style>
  <w:style w:type="character" w:styleId="8">
    <w:name w:val="Hyperlink"/>
    <w:basedOn w:val="5"/>
    <w:semiHidden/>
    <w:unhideWhenUsed/>
    <w:qFormat/>
    <w:uiPriority w:val="99"/>
    <w:rPr>
      <w:color w:val="0000FF"/>
      <w:u w:val="single"/>
    </w:rPr>
  </w:style>
  <w:style w:type="character" w:customStyle="1" w:styleId="9">
    <w:name w:val="日期 字符"/>
    <w:basedOn w:val="5"/>
    <w:link w:val="2"/>
    <w:semiHidden/>
    <w:qFormat/>
    <w:uiPriority w:val="99"/>
  </w:style>
  <w:style w:type="paragraph" w:customStyle="1" w:styleId="10">
    <w:name w:val="Default"/>
    <w:qFormat/>
    <w:uiPriority w:val="99"/>
    <w:pPr>
      <w:widowControl w:val="0"/>
      <w:autoSpaceDE w:val="0"/>
      <w:autoSpaceDN w:val="0"/>
      <w:adjustRightInd w:val="0"/>
    </w:pPr>
    <w:rPr>
      <w:rFonts w:ascii="方正仿宋简体" w:hAnsi="方正仿宋简体" w:eastAsia="方正仿宋简体" w:cs="方正仿宋简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4713</Words>
  <Characters>4996</Characters>
  <Lines>17</Lines>
  <Paragraphs>5</Paragraphs>
  <TotalTime>11</TotalTime>
  <ScaleCrop>false</ScaleCrop>
  <LinksUpToDate>false</LinksUpToDate>
  <CharactersWithSpaces>5243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2024-08-10T08:01:00Z</dcterms:created>
  <dc:creator>office</dc:creator>
  <cp:lastModifiedBy>thtf</cp:lastModifiedBy>
  <cp:lastPrinted>2024-09-12T05:55:00Z</cp:lastPrinted>
  <dcterms:modified xsi:type="dcterms:W3CDTF">2026-04-21T15:38:17Z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KSOTemplateDocerSaveRecord">
    <vt:lpwstr>eyJoZGlkIjoiZWE0NTViYTkwYzQzZDdlNzMzNzVjYjQwZmRmMjEwZjEiLCJ1c2VySWQiOiI3NzMwMTgzNDYifQ==</vt:lpwstr>
  </property>
  <property fmtid="{D5CDD505-2E9C-101B-9397-08002B2CF9AE}" pid="4" name="ICV">
    <vt:lpwstr>D713E7C898EE447CB4F2CDA0C34435B8_12</vt:lpwstr>
  </property>
</Properties>
</file>