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keepLines w:val="0"/>
        <w:pageBreakBefore w:val="0"/>
        <w:widowControl w:val="0"/>
        <w:shd w:val="clear" w:color="auto" w:fill="FFFFFF"/>
        <w:kinsoku/>
        <w:wordWrap/>
        <w:overflowPunct w:val="0"/>
        <w:topLinePunct/>
        <w:autoSpaceDE/>
        <w:autoSpaceDN/>
        <w:bidi w:val="0"/>
        <w:adjustRightInd/>
        <w:snapToGrid/>
        <w:spacing w:before="0" w:beforeAutospacing="0" w:after="0" w:afterAutospacing="0" w:line="700" w:lineRule="exact"/>
        <w:ind w:left="0" w:leftChars="0" w:right="0" w:firstLine="0" w:firstLineChars="0"/>
        <w:jc w:val="center"/>
        <w:textAlignment w:val="auto"/>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甘肃省药品监督管理局行政许可管理办法</w:t>
      </w:r>
    </w:p>
    <w:p>
      <w:pPr>
        <w:pStyle w:val="4"/>
        <w:keepNext/>
        <w:keepLines w:val="0"/>
        <w:pageBreakBefore w:val="0"/>
        <w:widowControl w:val="0"/>
        <w:shd w:val="clear" w:color="auto" w:fill="FFFFFF"/>
        <w:kinsoku/>
        <w:wordWrap/>
        <w:overflowPunct w:val="0"/>
        <w:topLinePunct/>
        <w:autoSpaceDE/>
        <w:autoSpaceDN/>
        <w:bidi w:val="0"/>
        <w:adjustRightInd/>
        <w:snapToGrid/>
        <w:spacing w:before="0" w:beforeAutospacing="0" w:after="0" w:afterAutospacing="0" w:line="700" w:lineRule="exact"/>
        <w:ind w:left="0" w:leftChars="0" w:right="0" w:firstLine="0" w:firstLineChars="0"/>
        <w:jc w:val="center"/>
        <w:textAlignment w:val="auto"/>
        <w:rPr>
          <w:rFonts w:hint="eastAsia" w:ascii="楷体_GB2312" w:hAnsi="楷体_GB2312" w:eastAsia="楷体_GB2312" w:cs="楷体_GB2312"/>
          <w:sz w:val="32"/>
          <w:szCs w:val="32"/>
        </w:rPr>
      </w:pPr>
      <w:r>
        <w:rPr>
          <w:rFonts w:hint="eastAsia" w:ascii="方正小标宋简体" w:hAnsi="方正小标宋简体" w:eastAsia="方正小标宋简体" w:cs="方正小标宋简体"/>
          <w:b w:val="0"/>
          <w:kern w:val="2"/>
          <w:sz w:val="44"/>
          <w:szCs w:val="44"/>
          <w:lang w:val="en-US" w:eastAsia="zh-CN" w:bidi="ar-SA"/>
        </w:rPr>
        <w:t>（征求意见稿）</w:t>
      </w:r>
    </w:p>
    <w:p>
      <w:pPr>
        <w:keepNext/>
        <w:widowControl w:val="0"/>
        <w:wordWrap/>
        <w:adjustRightInd/>
        <w:snapToGrid/>
        <w:spacing w:line="580" w:lineRule="exact"/>
        <w:ind w:left="0" w:leftChars="0" w:right="0" w:firstLine="0" w:firstLineChars="0"/>
        <w:jc w:val="center"/>
        <w:textAlignment w:val="auto"/>
        <w:rPr>
          <w:rFonts w:ascii="Arial" w:hAnsi="Arial" w:eastAsia="等线" w:cs="Arial"/>
          <w:sz w:val="32"/>
          <w:szCs w:val="32"/>
        </w:rPr>
      </w:pPr>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center"/>
        <w:textAlignment w:val="auto"/>
        <w:outlineLvl w:val="0"/>
        <w:rPr>
          <w:rFonts w:hint="eastAsia" w:ascii="黑体" w:hAnsi="黑体" w:eastAsia="黑体" w:cs="黑体"/>
          <w:b w:val="0"/>
          <w:bCs/>
          <w:sz w:val="32"/>
          <w:szCs w:val="32"/>
        </w:rPr>
      </w:pPr>
      <w:bookmarkStart w:id="0" w:name="heading_0"/>
      <w:r>
        <w:rPr>
          <w:rFonts w:hint="eastAsia" w:ascii="黑体" w:hAnsi="黑体" w:eastAsia="黑体" w:cs="黑体"/>
          <w:b w:val="0"/>
          <w:bCs/>
          <w:sz w:val="32"/>
          <w:szCs w:val="32"/>
        </w:rPr>
        <w:t>第一章 总则与基本要求</w:t>
      </w:r>
      <w:bookmarkEnd w:id="0"/>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第一条</w:t>
      </w:r>
      <w:r>
        <w:rPr>
          <w:rFonts w:hint="eastAsia" w:ascii="仿宋_GB2312" w:hAnsi="仿宋_GB2312" w:eastAsia="仿宋_GB2312" w:cs="仿宋_GB2312"/>
          <w:sz w:val="32"/>
          <w:szCs w:val="32"/>
        </w:rPr>
        <w:t xml:space="preserve"> 为</w:t>
      </w:r>
      <w:r>
        <w:rPr>
          <w:rFonts w:hint="eastAsia" w:ascii="仿宋_GB2312" w:hAnsi="仿宋_GB2312" w:eastAsia="仿宋_GB2312" w:cs="仿宋_GB2312"/>
          <w:sz w:val="32"/>
          <w:szCs w:val="32"/>
          <w:lang w:eastAsia="zh-CN"/>
        </w:rPr>
        <w:t>规范</w:t>
      </w:r>
      <w:r>
        <w:rPr>
          <w:rFonts w:hint="eastAsia" w:ascii="仿宋_GB2312" w:hAnsi="仿宋_GB2312" w:eastAsia="仿宋_GB2312" w:cs="仿宋_GB2312"/>
          <w:sz w:val="32"/>
          <w:szCs w:val="32"/>
        </w:rPr>
        <w:t>药品、医疗器械、化妆品（以下称“药品”）行政许可</w:t>
      </w:r>
      <w:r>
        <w:rPr>
          <w:rFonts w:hint="eastAsia" w:ascii="仿宋_GB2312" w:hAnsi="仿宋_GB2312" w:eastAsia="仿宋_GB2312" w:cs="仿宋_GB2312"/>
          <w:sz w:val="32"/>
          <w:szCs w:val="32"/>
          <w:lang w:eastAsia="zh-CN"/>
        </w:rPr>
        <w:t>行为</w:t>
      </w:r>
      <w:r>
        <w:rPr>
          <w:rFonts w:hint="eastAsia" w:ascii="仿宋_GB2312" w:hAnsi="仿宋_GB2312" w:eastAsia="仿宋_GB2312" w:cs="仿宋_GB2312"/>
          <w:sz w:val="32"/>
          <w:szCs w:val="32"/>
        </w:rPr>
        <w:t>，提升行政许可</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标准化、规范化、便利化水平，根据《中华人民共和国行政许可法》《中华人民共和国药品管理法》《中华人民共和国药品管理法实施条例》《中华人民共和国疫苗管理法》《医疗器械监督管理条例》《化妆品监督管理条例》</w:t>
      </w:r>
      <w:r>
        <w:rPr>
          <w:rFonts w:hint="eastAsia" w:ascii="仿宋_GB2312" w:hAnsi="仿宋_GB2312" w:eastAsia="仿宋_GB2312" w:cs="仿宋_GB2312"/>
          <w:sz w:val="32"/>
          <w:szCs w:val="32"/>
          <w:lang w:eastAsia="zh-CN"/>
        </w:rPr>
        <w:t>等法规制度</w:t>
      </w:r>
      <w:r>
        <w:rPr>
          <w:rFonts w:hint="eastAsia" w:ascii="仿宋_GB2312" w:hAnsi="仿宋_GB2312" w:eastAsia="仿宋_GB2312" w:cs="仿宋_GB2312"/>
          <w:sz w:val="32"/>
          <w:szCs w:val="32"/>
        </w:rPr>
        <w:t>，结合甘肃省药品监督管理局（以下简称省药监局）工作实际，制定本办法。</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第二条</w:t>
      </w:r>
      <w:r>
        <w:rPr>
          <w:rFonts w:hint="eastAsia" w:ascii="仿宋_GB2312" w:hAnsi="仿宋_GB2312" w:eastAsia="仿宋_GB2312" w:cs="仿宋_GB2312"/>
          <w:sz w:val="32"/>
          <w:szCs w:val="32"/>
        </w:rPr>
        <w:t xml:space="preserve"> 本办法所称</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药品行政许可，是指省药监局</w:t>
      </w:r>
      <w:r>
        <w:rPr>
          <w:rFonts w:hint="eastAsia" w:ascii="仿宋_GB2312" w:hAnsi="仿宋_GB2312" w:eastAsia="仿宋_GB2312" w:cs="仿宋_GB2312"/>
          <w:sz w:val="32"/>
          <w:szCs w:val="32"/>
          <w:lang w:eastAsia="zh-CN"/>
        </w:rPr>
        <w:t>按照</w:t>
      </w:r>
      <w:r>
        <w:rPr>
          <w:rFonts w:hint="eastAsia" w:ascii="仿宋_GB2312" w:hAnsi="仿宋_GB2312" w:eastAsia="仿宋_GB2312" w:cs="仿宋_GB2312"/>
          <w:sz w:val="32"/>
          <w:szCs w:val="32"/>
        </w:rPr>
        <w:t>公民、法人或者其他组织（以下简称申请人）的申请，</w:t>
      </w:r>
      <w:r>
        <w:rPr>
          <w:rFonts w:hint="eastAsia" w:ascii="仿宋_GB2312" w:hAnsi="仿宋_GB2312" w:eastAsia="仿宋_GB2312" w:cs="仿宋_GB2312"/>
          <w:sz w:val="32"/>
          <w:szCs w:val="32"/>
          <w:lang w:eastAsia="zh-CN"/>
        </w:rPr>
        <w:t>依据</w:t>
      </w:r>
      <w:r>
        <w:rPr>
          <w:rFonts w:hint="eastAsia" w:ascii="仿宋_GB2312" w:hAnsi="仿宋_GB2312" w:eastAsia="仿宋_GB2312" w:cs="仿宋_GB2312"/>
          <w:sz w:val="32"/>
          <w:szCs w:val="32"/>
        </w:rPr>
        <w:t>药品相关法律法规及标准规范</w:t>
      </w: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rPr>
        <w:t>审查，决定是否准予其从事药品相关特定活动的行为。甘肃省范围内由省药监局实施的药品行政许可、行政备案、行政确认等事项适用本办法。</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行政许可实施须于法有据、程序规范，遵循“受理、审评、审批”三分离原则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具体包括受理、技术审评、行政审批及制证送达，相关技术审评、现场核查、检验与监测工作按事权划分由对应机构承担，且全过程使用统一文书格式。</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第四条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rPr>
        <w:t>药品行政工作坚持以公开、公平、公正、便民、高效为导向，全面落实“一窗办、一网办、简化办、马上办”服务机制，实行“统一受理、分类审批、一窗出件”的“互联网+政务服务”模式，同步建立许可与监管会商机制。行政备案事项不得擅自增设或变相增加条件与程序。</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在甘肃政务服务网公布权责清单、行政备案事项清单及相关办事规范，提供行政许可服务指南</w:t>
      </w:r>
      <w:r>
        <w:rPr>
          <w:rFonts w:hint="eastAsia" w:ascii="仿宋_GB2312" w:hAnsi="仿宋_GB2312" w:eastAsia="仿宋_GB2312" w:cs="仿宋_GB2312"/>
          <w:sz w:val="32"/>
          <w:szCs w:val="32"/>
          <w:lang w:eastAsia="zh-CN"/>
        </w:rPr>
        <w:t>、程序</w:t>
      </w:r>
      <w:r>
        <w:rPr>
          <w:rFonts w:hint="eastAsia" w:ascii="仿宋_GB2312" w:hAnsi="仿宋_GB2312" w:eastAsia="仿宋_GB2312" w:cs="仿宋_GB2312"/>
          <w:sz w:val="32"/>
          <w:szCs w:val="32"/>
        </w:rPr>
        <w:t>与服务接口等配套资源。依托甘肃药品监管“互联网+政务服务”平台，实施企业许可信息电子化管理，全面推行电子证照，实现电子证照与纸质证照同步制发、同效可用。依托省政府统一数据共享交换平台，推动电子证照数据跨部门、跨层级互通互认，强化许可与监管信息联动，提升药品全生命周期动态监管效能。</w:t>
      </w:r>
    </w:p>
    <w:p>
      <w:pPr>
        <w:pStyle w:val="7"/>
        <w:keepNext/>
        <w:keepLines w:val="0"/>
        <w:pageBreakBefore w:val="0"/>
        <w:widowControl w:val="0"/>
        <w:kinsoku/>
        <w:wordWrap/>
        <w:overflowPunct/>
        <w:topLinePunct w:val="0"/>
        <w:autoSpaceDE/>
        <w:autoSpaceDN/>
        <w:bidi w:val="0"/>
        <w:adjustRightInd/>
        <w:snapToGrid/>
        <w:spacing w:beforeAutospacing="0" w:afterAutospacing="0" w:line="640" w:lineRule="exact"/>
        <w:ind w:left="0" w:leftChars="0" w:right="0" w:firstLine="642"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kern w:val="2"/>
          <w:sz w:val="32"/>
          <w:szCs w:val="32"/>
          <w:lang w:val="en-US" w:eastAsia="zh-CN" w:bidi="ar-SA"/>
        </w:rPr>
        <w:t>积极探索行政审批制度创新与政务服务优化路径，严格贯彻国家及省委、省政府改革部署，并将相关举措及时落地至</w:t>
      </w:r>
      <w:r>
        <w:rPr>
          <w:rFonts w:hint="eastAsia" w:ascii="仿宋_GB2312" w:hAnsi="仿宋_GB2312" w:eastAsia="仿宋_GB2312" w:cs="仿宋_GB2312"/>
          <w:sz w:val="32"/>
          <w:szCs w:val="32"/>
        </w:rPr>
        <w:t>“互联网+政务服务”平台</w:t>
      </w:r>
      <w:r>
        <w:rPr>
          <w:rFonts w:hint="eastAsia" w:ascii="仿宋_GB2312" w:hAnsi="仿宋_GB2312" w:eastAsia="仿宋_GB2312" w:cs="仿宋_GB2312"/>
          <w:kern w:val="2"/>
          <w:sz w:val="32"/>
          <w:szCs w:val="32"/>
          <w:lang w:val="en-US" w:eastAsia="zh-CN" w:bidi="ar-SA"/>
        </w:rPr>
        <w:t>。从事行政许可、备案工作的人员，须熟练掌握相关法律法规，常态化开展培训，对新入职人员经培训并考核合格后方可上岗，并按规定适时轮岗。在实施行政许可过程中，必须严格遵循岗位操作规范（见附件1），严守廉政风险防控规定（见附件2），自觉接受管理和监督。</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center"/>
        <w:textAlignment w:val="auto"/>
        <w:outlineLvl w:val="0"/>
        <w:rPr>
          <w:rFonts w:hint="eastAsia" w:ascii="黑体" w:hAnsi="黑体" w:eastAsia="黑体" w:cs="黑体"/>
          <w:b w:val="0"/>
          <w:bCs/>
          <w:sz w:val="32"/>
          <w:szCs w:val="32"/>
        </w:rPr>
      </w:pPr>
      <w:bookmarkStart w:id="1" w:name="heading_1"/>
      <w:r>
        <w:rPr>
          <w:rFonts w:hint="eastAsia" w:ascii="黑体" w:hAnsi="黑体" w:eastAsia="黑体" w:cs="黑体"/>
          <w:b w:val="0"/>
          <w:bCs/>
          <w:sz w:val="32"/>
          <w:szCs w:val="32"/>
          <w:shd w:val="clear" w:color="auto" w:fill="auto"/>
        </w:rPr>
        <w:t>第二章 事权划分</w:t>
      </w:r>
      <w:bookmarkEnd w:id="1"/>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药品、医疗器械和化妆品监管处（以下简称“业务监管处”）履行以下职责：</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（一）提供本领域行政许可、备案相关的法律法规、标准规范支持；</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（二）牵头与国家药监局相关业务部门对接，协调解决行政许可及备案工作中的政策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标准问题；</w:t>
      </w:r>
      <w:r>
        <w:rPr>
          <w:rFonts w:hint="eastAsia" w:ascii="仿宋_GB2312" w:hAnsi="仿宋_GB2312" w:eastAsia="仿宋_GB2312" w:cs="仿宋_GB2312"/>
          <w:sz w:val="32"/>
          <w:szCs w:val="32"/>
          <w:lang w:eastAsia="zh-CN"/>
        </w:rPr>
        <w:t>对重大行政许可事项提出意见建议。</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（三）对“告知承诺”类许可事项，在许可决定作出后2个月内组织开展现场核查；</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（四）负责许可事项的事中事后监管、备案事项的事后核查及相关行政处罚工作，指导市县两级市场监管部门开展行政许可及备案工作。</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行政许可处履行以下职责：</w:t>
      </w:r>
    </w:p>
    <w:p>
      <w:pPr>
        <w:pStyle w:val="7"/>
        <w:keepNext/>
        <w:keepLines w:val="0"/>
        <w:pageBreakBefore w:val="0"/>
        <w:widowControl w:val="0"/>
        <w:kinsoku/>
        <w:wordWrap/>
        <w:overflowPunct/>
        <w:topLinePunct w:val="0"/>
        <w:autoSpaceDE/>
        <w:autoSpaceDN/>
        <w:bidi w:val="0"/>
        <w:adjustRightInd/>
        <w:snapToGrid/>
        <w:spacing w:beforeAutospacing="0" w:afterAutospacing="0" w:line="64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承担省本级行政许可事项的受理、审查、审批、制证与送达工作；负责行政备案事项的资料接收、形式审查、结果公示及凭证出具；办理省本级药品相关行政确认（登记）事项的申请受理、结果确认与证明核发。</w:t>
      </w:r>
    </w:p>
    <w:p>
      <w:pPr>
        <w:pStyle w:val="7"/>
        <w:keepNext/>
        <w:keepLines w:val="0"/>
        <w:pageBreakBefore w:val="0"/>
        <w:widowControl w:val="0"/>
        <w:kinsoku/>
        <w:wordWrap/>
        <w:overflowPunct/>
        <w:topLinePunct w:val="0"/>
        <w:autoSpaceDE/>
        <w:autoSpaceDN/>
        <w:bidi w:val="0"/>
        <w:adjustRightInd/>
        <w:snapToGrid/>
        <w:spacing w:beforeAutospacing="0" w:afterAutospacing="0" w:line="64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（二）统筹协调省本级行政许可相关的技术审查、审评检查、现场检查及注册抽样等工作。</w:t>
      </w:r>
    </w:p>
    <w:p>
      <w:pPr>
        <w:pStyle w:val="7"/>
        <w:keepNext/>
        <w:keepLines w:val="0"/>
        <w:pageBreakBefore w:val="0"/>
        <w:widowControl w:val="0"/>
        <w:kinsoku/>
        <w:wordWrap/>
        <w:overflowPunct/>
        <w:topLinePunct w:val="0"/>
        <w:autoSpaceDE/>
        <w:autoSpaceDN/>
        <w:bidi w:val="0"/>
        <w:adjustRightInd/>
        <w:snapToGrid/>
        <w:spacing w:beforeAutospacing="0" w:afterAutospacing="0" w:line="64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（三）负责制定、修改完善许可、备案及确认事项的工作程序与办事指南，并组织实施。</w:t>
      </w:r>
    </w:p>
    <w:p>
      <w:pPr>
        <w:pStyle w:val="7"/>
        <w:keepNext/>
        <w:keepLines w:val="0"/>
        <w:pageBreakBefore w:val="0"/>
        <w:widowControl w:val="0"/>
        <w:kinsoku/>
        <w:wordWrap/>
        <w:overflowPunct/>
        <w:topLinePunct w:val="0"/>
        <w:autoSpaceDE/>
        <w:autoSpaceDN/>
        <w:bidi w:val="0"/>
        <w:adjustRightInd/>
        <w:snapToGrid/>
        <w:spacing w:beforeAutospacing="0" w:afterAutospacing="0" w:line="64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（四）负责省本级行政许可信息公开与审批结果信息的推送工作。</w:t>
      </w:r>
    </w:p>
    <w:p>
      <w:pPr>
        <w:pStyle w:val="7"/>
        <w:keepNext/>
        <w:keepLines w:val="0"/>
        <w:pageBreakBefore w:val="0"/>
        <w:widowControl w:val="0"/>
        <w:kinsoku/>
        <w:wordWrap/>
        <w:overflowPunct/>
        <w:topLinePunct w:val="0"/>
        <w:autoSpaceDE/>
        <w:autoSpaceDN/>
        <w:bidi w:val="0"/>
        <w:adjustRightInd/>
        <w:snapToGrid/>
        <w:spacing w:beforeAutospacing="0" w:afterAutospacing="0" w:line="64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（五）承担省本级行政许可审批系统的日常运行与管理。</w:t>
      </w:r>
    </w:p>
    <w:p>
      <w:pPr>
        <w:pStyle w:val="7"/>
        <w:keepNext/>
        <w:keepLines w:val="0"/>
        <w:pageBreakBefore w:val="0"/>
        <w:widowControl w:val="0"/>
        <w:kinsoku/>
        <w:wordWrap/>
        <w:overflowPunct/>
        <w:topLinePunct w:val="0"/>
        <w:autoSpaceDE/>
        <w:autoSpaceDN/>
        <w:bidi w:val="0"/>
        <w:adjustRightInd/>
        <w:snapToGrid/>
        <w:spacing w:beforeAutospacing="0" w:afterAutospacing="0" w:line="64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（六）负责省本级行政许可政务受理的日常管理工作。</w:t>
      </w:r>
    </w:p>
    <w:p>
      <w:pPr>
        <w:pStyle w:val="7"/>
        <w:keepNext/>
        <w:keepLines w:val="0"/>
        <w:pageBreakBefore w:val="0"/>
        <w:widowControl w:val="0"/>
        <w:kinsoku/>
        <w:wordWrap/>
        <w:overflowPunct/>
        <w:topLinePunct w:val="0"/>
        <w:autoSpaceDE/>
        <w:autoSpaceDN/>
        <w:bidi w:val="0"/>
        <w:adjustRightInd/>
        <w:snapToGrid/>
        <w:spacing w:beforeAutospacing="0" w:afterAutospacing="0" w:line="64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（七）管理</w:t>
      </w:r>
      <w:r>
        <w:rPr>
          <w:rFonts w:hint="eastAsia" w:ascii="仿宋_GB2312" w:hAnsi="仿宋_GB2312" w:eastAsia="仿宋_GB2312" w:cs="仿宋_GB2312"/>
          <w:sz w:val="32"/>
          <w:szCs w:val="32"/>
        </w:rPr>
        <w:t>“互联网+政务服务”</w:t>
      </w:r>
      <w:r>
        <w:rPr>
          <w:rFonts w:hint="eastAsia" w:ascii="仿宋_GB2312" w:hAnsi="仿宋_GB2312" w:eastAsia="仿宋_GB2312" w:cs="仿宋_GB2312"/>
          <w:kern w:val="2"/>
          <w:sz w:val="32"/>
          <w:szCs w:val="32"/>
          <w:lang w:val="en-US" w:eastAsia="zh-CN" w:bidi="ar-SA"/>
        </w:rPr>
        <w:t>审批模块，并承担与行政许可相关的行政复议与行政应诉工作。</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（八）统筹组织相关单位开展行政许可政策与技术帮扶工作。</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九</w:t>
      </w:r>
      <w:r>
        <w:rPr>
          <w:rFonts w:hint="eastAsia" w:ascii="仿宋_GB2312" w:hAnsi="仿宋_GB2312" w:eastAsia="仿宋_GB2312" w:cs="仿宋_GB2312"/>
          <w:b/>
          <w:sz w:val="32"/>
          <w:szCs w:val="32"/>
        </w:rPr>
        <w:t>条</w:t>
      </w: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sz w:val="32"/>
          <w:szCs w:val="32"/>
        </w:rPr>
        <w:t>省药监局审核查验中心履行以下职责：</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（一）负责药品相关行政许可事项的技术审评</w:t>
      </w:r>
      <w:r>
        <w:rPr>
          <w:rFonts w:hint="eastAsia" w:ascii="仿宋_GB2312" w:hAnsi="仿宋_GB2312" w:eastAsia="仿宋_GB2312" w:cs="仿宋_GB2312"/>
          <w:sz w:val="32"/>
          <w:szCs w:val="32"/>
          <w:lang w:eastAsia="zh-CN"/>
        </w:rPr>
        <w:t>、现场检查、注册抽样</w:t>
      </w:r>
      <w:r>
        <w:rPr>
          <w:rFonts w:hint="eastAsia" w:ascii="仿宋_GB2312" w:hAnsi="仿宋_GB2312" w:eastAsia="仿宋_GB2312" w:cs="仿宋_GB2312"/>
          <w:sz w:val="32"/>
          <w:szCs w:val="32"/>
        </w:rPr>
        <w:t>及质量管理规范</w:t>
      </w:r>
      <w:r>
        <w:rPr>
          <w:rFonts w:hint="eastAsia" w:ascii="仿宋_GB2312" w:hAnsi="仿宋_GB2312" w:eastAsia="仿宋_GB2312" w:cs="仿宋_GB2312"/>
          <w:sz w:val="32"/>
          <w:szCs w:val="32"/>
          <w:lang w:eastAsia="zh-CN"/>
        </w:rPr>
        <w:t>体系</w:t>
      </w:r>
      <w:r>
        <w:rPr>
          <w:rFonts w:hint="eastAsia" w:ascii="仿宋_GB2312" w:hAnsi="仿宋_GB2312" w:eastAsia="仿宋_GB2312" w:cs="仿宋_GB2312"/>
          <w:sz w:val="32"/>
          <w:szCs w:val="32"/>
        </w:rPr>
        <w:t>核查工作；</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（二）承担检查员选派使用、工作考核等日常管理工作，配合开展检查员业务培训及廉政教育；</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）建立并严格落实技术审评和现场检查相关工作制度；</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）复查企业许可缺陷整改情况，确保整改工作闭环管理；发现重大质量安全风险时，第一时间通报辖区执法检查局和相关监管部门；定期向监管部门反馈审评检查中发现的共性问题及风险点。</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第十条</w:t>
      </w:r>
      <w:r>
        <w:rPr>
          <w:rFonts w:hint="eastAsia" w:ascii="仿宋_GB2312" w:hAnsi="仿宋_GB2312" w:eastAsia="仿宋_GB2312" w:cs="仿宋_GB2312"/>
          <w:sz w:val="32"/>
          <w:szCs w:val="32"/>
        </w:rPr>
        <w:t xml:space="preserve"> 省药监局</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相关处</w:t>
      </w:r>
      <w:r>
        <w:rPr>
          <w:rFonts w:hint="eastAsia" w:ascii="仿宋_GB2312" w:hAnsi="仿宋_GB2312" w:eastAsia="仿宋_GB2312" w:cs="仿宋_GB2312"/>
          <w:sz w:val="32"/>
          <w:szCs w:val="32"/>
          <w:lang w:eastAsia="zh-CN"/>
        </w:rPr>
        <w:t>、事业单位</w:t>
      </w:r>
      <w:r>
        <w:rPr>
          <w:rFonts w:hint="eastAsia" w:ascii="仿宋_GB2312" w:hAnsi="仿宋_GB2312" w:eastAsia="仿宋_GB2312" w:cs="仿宋_GB2312"/>
          <w:sz w:val="32"/>
          <w:szCs w:val="32"/>
        </w:rPr>
        <w:t>履行以下职责：</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（一）综合和规划财务处：负责</w:t>
      </w:r>
      <w:r>
        <w:rPr>
          <w:rFonts w:hint="eastAsia" w:ascii="仿宋_GB2312" w:hAnsi="仿宋_GB2312" w:eastAsia="仿宋_GB2312" w:cs="仿宋_GB2312"/>
          <w:sz w:val="32"/>
          <w:szCs w:val="32"/>
          <w:lang w:eastAsia="zh-CN"/>
        </w:rPr>
        <w:t>数字政府建设；承担</w:t>
      </w:r>
      <w:r>
        <w:rPr>
          <w:rFonts w:hint="eastAsia" w:ascii="仿宋_GB2312" w:hAnsi="仿宋_GB2312" w:eastAsia="仿宋_GB2312" w:cs="仿宋_GB2312"/>
          <w:sz w:val="32"/>
          <w:szCs w:val="32"/>
        </w:rPr>
        <w:t>行政许可信息化建设、信息技术保障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网络安全工作；</w:t>
      </w: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rPr>
        <w:t>信息中心对接省政府一体化平台，保障监管平台稳定运行；</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机关党委（人事处、</w:t>
      </w:r>
      <w:r>
        <w:rPr>
          <w:rFonts w:hint="eastAsia" w:ascii="仿宋_GB2312" w:hAnsi="仿宋_GB2312" w:eastAsia="仿宋_GB2312" w:cs="仿宋_GB2312"/>
          <w:sz w:val="32"/>
          <w:szCs w:val="32"/>
        </w:rPr>
        <w:t>机关纪委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：统筹将药品检查员培训工作纳入本单位年度教育培训计划。按职责分工负责行政许可工作的廉政监督；</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（三）政策法规处：负责行政许可及备案的政策研究和法律监督工作，</w:t>
      </w:r>
      <w:r>
        <w:rPr>
          <w:rFonts w:hint="eastAsia" w:ascii="仿宋_GB2312" w:hAnsi="仿宋_GB2312" w:eastAsia="仿宋_GB2312" w:cs="仿宋_GB2312"/>
          <w:sz w:val="32"/>
          <w:szCs w:val="32"/>
          <w:shd w:val="clear" w:color="auto" w:fill="auto"/>
          <w:lang w:eastAsia="zh-CN"/>
        </w:rPr>
        <w:t>协调、指导行政复议答复和行政诉讼应诉工作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牵头协调</w:t>
      </w:r>
      <w:r>
        <w:rPr>
          <w:rFonts w:hint="eastAsia" w:ascii="仿宋_GB2312" w:hAnsi="仿宋_GB2312" w:eastAsia="仿宋_GB2312" w:cs="仿宋_GB2312"/>
          <w:sz w:val="32"/>
          <w:szCs w:val="32"/>
          <w:lang w:eastAsia="zh-CN"/>
        </w:rPr>
        <w:t>优化营商环境等</w:t>
      </w:r>
      <w:r>
        <w:rPr>
          <w:rFonts w:hint="eastAsia" w:ascii="仿宋_GB2312" w:hAnsi="仿宋_GB2312" w:eastAsia="仿宋_GB2312" w:cs="仿宋_GB2312"/>
          <w:sz w:val="32"/>
          <w:szCs w:val="32"/>
        </w:rPr>
        <w:t>改革任务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公布行政许可及备案事项清单</w:t>
      </w:r>
      <w:r>
        <w:rPr>
          <w:rFonts w:hint="eastAsia" w:ascii="仿宋_GB2312" w:hAnsi="仿宋_GB2312" w:eastAsia="仿宋_GB2312" w:cs="仿宋_GB2312"/>
          <w:sz w:val="32"/>
          <w:szCs w:val="32"/>
          <w:lang w:eastAsia="zh-CN"/>
        </w:rPr>
        <w:t>；</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省药品检验研究院：负责药品注册检验、质量标准复核；</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省药物警戒中心：</w:t>
      </w:r>
      <w:r>
        <w:rPr>
          <w:rFonts w:hint="eastAsia" w:ascii="仿宋_GB2312" w:hAnsi="仿宋_GB2312" w:eastAsia="仿宋_GB2312" w:cs="仿宋_GB2312"/>
          <w:sz w:val="32"/>
          <w:szCs w:val="32"/>
          <w:lang w:eastAsia="zh-CN"/>
        </w:rPr>
        <w:t>负责行政许可事项相关的药品</w:t>
      </w:r>
      <w:r>
        <w:rPr>
          <w:rFonts w:hint="eastAsia" w:ascii="仿宋_GB2312" w:hAnsi="仿宋_GB2312" w:eastAsia="仿宋_GB2312" w:cs="仿宋_GB2312"/>
          <w:sz w:val="32"/>
          <w:szCs w:val="32"/>
        </w:rPr>
        <w:t>不良反应（事件）监测</w:t>
      </w:r>
      <w:r>
        <w:rPr>
          <w:rFonts w:hint="eastAsia" w:ascii="仿宋_GB2312" w:hAnsi="仿宋_GB2312" w:eastAsia="仿宋_GB2312" w:cs="仿宋_GB2312"/>
          <w:sz w:val="32"/>
          <w:szCs w:val="32"/>
          <w:lang w:eastAsia="zh-CN"/>
        </w:rPr>
        <w:t>评价。</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eastAsia="zh-CN"/>
        </w:rPr>
        <w:t>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行政许可与事中事后监管职责的划分以许可、备案信息成功推送为界。行政许可处负责审批，业务监管处负责信息推送后的备案核查及整体监管工作，形成权责清晰、衔接有序的工作机制。</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center"/>
        <w:textAlignment w:val="auto"/>
        <w:outlineLvl w:val="0"/>
        <w:rPr>
          <w:rFonts w:hint="eastAsia" w:ascii="黑体" w:hAnsi="黑体" w:eastAsia="黑体" w:cs="黑体"/>
          <w:b w:val="0"/>
          <w:bCs/>
          <w:sz w:val="32"/>
          <w:szCs w:val="32"/>
        </w:rPr>
      </w:pPr>
      <w:bookmarkStart w:id="2" w:name="heading_2"/>
      <w:r>
        <w:rPr>
          <w:rFonts w:hint="eastAsia" w:ascii="黑体" w:hAnsi="黑体" w:eastAsia="黑体" w:cs="黑体"/>
          <w:b w:val="0"/>
          <w:bCs/>
          <w:sz w:val="32"/>
          <w:szCs w:val="32"/>
        </w:rPr>
        <w:t>第三章 工作程序</w:t>
      </w:r>
      <w:bookmarkEnd w:id="2"/>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center"/>
        <w:textAlignment w:val="auto"/>
        <w:outlineLvl w:val="1"/>
        <w:rPr>
          <w:rFonts w:hint="eastAsia" w:ascii="仿宋_GB2312" w:hAnsi="仿宋_GB2312" w:eastAsia="仿宋_GB2312" w:cs="仿宋_GB2312"/>
          <w:b/>
          <w:bCs w:val="0"/>
          <w:sz w:val="32"/>
          <w:szCs w:val="32"/>
        </w:rPr>
      </w:pPr>
      <w:bookmarkStart w:id="3" w:name="heading_3"/>
      <w:r>
        <w:rPr>
          <w:rFonts w:hint="eastAsia" w:ascii="仿宋_GB2312" w:hAnsi="仿宋_GB2312" w:eastAsia="仿宋_GB2312" w:cs="仿宋_GB2312"/>
          <w:b/>
          <w:bCs w:val="0"/>
          <w:sz w:val="32"/>
          <w:szCs w:val="32"/>
        </w:rPr>
        <w:t>第一节 受理</w:t>
      </w:r>
      <w:bookmarkEnd w:id="3"/>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省政府政务大厅药品监管分中心（以下简称“药品监管分中心”）对申请事项进行核对后，按以下情形分类处理：</w:t>
      </w:r>
    </w:p>
    <w:p>
      <w:pPr>
        <w:pStyle w:val="7"/>
        <w:keepNext/>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40" w:lineRule="exact"/>
        <w:ind w:left="0" w:leftChars="0" w:right="0" w:firstLine="64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（一）申请事项依法不需要取得行政许可的，应当即时告知申请人不受理；</w:t>
      </w:r>
    </w:p>
    <w:p>
      <w:pPr>
        <w:pStyle w:val="7"/>
        <w:keepNext/>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40" w:lineRule="exact"/>
        <w:ind w:left="0" w:leftChars="0" w:right="0" w:firstLine="64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（二）申请事项依法不属于本部门职权范围的，应当即时作出不予受理的决定，并告知申请人向有关行政机关申请；</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（三）申请材料存在可当场更正错误的，允许申请人当场更正并书面确认（技术性实质内容除外）；</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（四）申请材料不齐全或者不符合形式审查要求的，应当场或者在</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日内发给申请人补正材料通知书，一次性告知申请人需要补正的全部内容，逾期不告知的，自收到申请材料之日起即为受理；</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（五）申请材料齐全、符合形式审查要求，或者申请人按照要求提交全部补正材料的，予以受理。</w:t>
      </w:r>
    </w:p>
    <w:p>
      <w:pPr>
        <w:keepNext/>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药品监管分中心作出受理或不予受理行政许可申请决定</w:t>
      </w:r>
      <w:r>
        <w:rPr>
          <w:rFonts w:hint="eastAsia" w:ascii="仿宋_GB2312" w:hAnsi="仿宋_GB2312" w:eastAsia="仿宋_GB2312" w:cs="仿宋_GB2312"/>
          <w:kern w:val="2"/>
          <w:sz w:val="32"/>
          <w:szCs w:val="32"/>
          <w:lang w:val="en-US" w:eastAsia="zh-CN" w:bidi="ar-SA"/>
        </w:rPr>
        <w:t>的，应当出具加盖本部门专用印章和注明日期的受理通知书或者不予受理通知</w:t>
      </w:r>
      <w:r>
        <w:rPr>
          <w:rFonts w:hint="eastAsia" w:ascii="仿宋_GB2312" w:hAnsi="仿宋_GB2312" w:eastAsia="仿宋_GB2312" w:cs="仿宋_GB2312"/>
          <w:sz w:val="32"/>
          <w:szCs w:val="32"/>
          <w:lang w:val="en-US" w:eastAsia="zh-CN"/>
        </w:rPr>
        <w:t>书（说明理由）</w:t>
      </w:r>
      <w:r>
        <w:rPr>
          <w:rFonts w:hint="eastAsia" w:ascii="仿宋_GB2312" w:hAnsi="仿宋_GB2312" w:eastAsia="仿宋_GB2312" w:cs="仿宋_GB2312"/>
          <w:kern w:val="2"/>
          <w:sz w:val="32"/>
          <w:szCs w:val="32"/>
          <w:lang w:val="en-US" w:eastAsia="zh-CN" w:bidi="ar-SA"/>
        </w:rPr>
        <w:t>；通过</w:t>
      </w:r>
      <w:r>
        <w:rPr>
          <w:rFonts w:hint="eastAsia" w:ascii="仿宋_GB2312" w:hAnsi="仿宋_GB2312" w:eastAsia="仿宋_GB2312" w:cs="仿宋_GB2312"/>
          <w:sz w:val="32"/>
          <w:szCs w:val="32"/>
        </w:rPr>
        <w:t>网上申请的，由</w:t>
      </w:r>
      <w:r>
        <w:rPr>
          <w:rFonts w:hint="eastAsia" w:ascii="仿宋_GB2312" w:hAnsi="仿宋_GB2312" w:eastAsia="仿宋_GB2312" w:cs="仿宋_GB2312"/>
          <w:sz w:val="32"/>
          <w:szCs w:val="32"/>
          <w:lang w:eastAsia="zh-CN"/>
        </w:rPr>
        <w:t>监管平台</w:t>
      </w:r>
      <w:r>
        <w:rPr>
          <w:rFonts w:hint="eastAsia" w:ascii="仿宋_GB2312" w:hAnsi="仿宋_GB2312" w:eastAsia="仿宋_GB2312" w:cs="仿宋_GB2312"/>
          <w:sz w:val="32"/>
          <w:szCs w:val="32"/>
        </w:rPr>
        <w:t>自动生成电子凭证，该电子凭证与书面凭证具有同等法律效力。</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第十</w:t>
      </w:r>
      <w:r>
        <w:rPr>
          <w:rFonts w:hint="eastAsia" w:ascii="仿宋_GB2312" w:hAnsi="仿宋_GB2312" w:eastAsia="仿宋_GB2312" w:cs="仿宋_GB2312"/>
          <w:b/>
          <w:sz w:val="32"/>
          <w:szCs w:val="32"/>
          <w:lang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依法应当场作出行政许可决定的，药品监管分中心即时作出决定，同步制作《行政许可决定书》及相关证书并送达申请人。</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十五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需开展技术审评或现场</w:t>
      </w:r>
      <w:r>
        <w:rPr>
          <w:rFonts w:hint="eastAsia" w:ascii="仿宋_GB2312" w:hAnsi="仿宋_GB2312" w:eastAsia="仿宋_GB2312" w:cs="仿宋_GB2312"/>
          <w:sz w:val="32"/>
          <w:szCs w:val="32"/>
          <w:lang w:eastAsia="zh-CN"/>
        </w:rPr>
        <w:t>检</w:t>
      </w:r>
      <w:r>
        <w:rPr>
          <w:rFonts w:hint="eastAsia" w:ascii="仿宋_GB2312" w:hAnsi="仿宋_GB2312" w:eastAsia="仿宋_GB2312" w:cs="仿宋_GB2312"/>
          <w:sz w:val="32"/>
          <w:szCs w:val="32"/>
        </w:rPr>
        <w:t>查的许可事项，药品监管分中心受理后即时将申报资料转交审核查验中心，网上申请事项自动转入相关程序；无需技术审评或现场</w:t>
      </w:r>
      <w:r>
        <w:rPr>
          <w:rFonts w:hint="eastAsia" w:ascii="仿宋_GB2312" w:hAnsi="仿宋_GB2312" w:eastAsia="仿宋_GB2312" w:cs="仿宋_GB2312"/>
          <w:sz w:val="32"/>
          <w:szCs w:val="32"/>
          <w:lang w:eastAsia="zh-CN"/>
        </w:rPr>
        <w:t>检</w:t>
      </w:r>
      <w:r>
        <w:rPr>
          <w:rFonts w:hint="eastAsia" w:ascii="仿宋_GB2312" w:hAnsi="仿宋_GB2312" w:eastAsia="仿宋_GB2312" w:cs="仿宋_GB2312"/>
          <w:sz w:val="32"/>
          <w:szCs w:val="32"/>
        </w:rPr>
        <w:t>查的，即时将相关材料推送至行政许可处。备案类事项</w:t>
      </w:r>
      <w:r>
        <w:rPr>
          <w:rFonts w:hint="eastAsia" w:ascii="仿宋_GB2312" w:hAnsi="仿宋_GB2312" w:eastAsia="仿宋_GB2312" w:cs="仿宋_GB2312"/>
          <w:sz w:val="32"/>
          <w:szCs w:val="32"/>
          <w:lang w:eastAsia="zh-CN"/>
        </w:rPr>
        <w:t>形式审查</w:t>
      </w:r>
      <w:r>
        <w:rPr>
          <w:rFonts w:hint="eastAsia" w:ascii="仿宋_GB2312" w:hAnsi="仿宋_GB2312" w:eastAsia="仿宋_GB2312" w:cs="仿宋_GB2312"/>
          <w:sz w:val="32"/>
          <w:szCs w:val="32"/>
        </w:rPr>
        <w:t>通过后即时生效并公示。</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center"/>
        <w:textAlignment w:val="auto"/>
        <w:outlineLvl w:val="1"/>
        <w:rPr>
          <w:rFonts w:hint="eastAsia" w:ascii="仿宋_GB2312" w:hAnsi="仿宋_GB2312" w:eastAsia="仿宋_GB2312" w:cs="仿宋_GB2312"/>
          <w:sz w:val="32"/>
          <w:szCs w:val="32"/>
        </w:rPr>
      </w:pPr>
      <w:bookmarkStart w:id="4" w:name="heading_4"/>
      <w:r>
        <w:rPr>
          <w:rFonts w:hint="eastAsia" w:ascii="仿宋_GB2312" w:hAnsi="仿宋_GB2312" w:eastAsia="仿宋_GB2312" w:cs="仿宋_GB2312"/>
          <w:b/>
          <w:sz w:val="32"/>
          <w:szCs w:val="32"/>
        </w:rPr>
        <w:t>第二节 技术审评和现场检查</w:t>
      </w:r>
      <w:bookmarkEnd w:id="4"/>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十六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依法需要对申请行政许可事项实施现场核查的，由</w:t>
      </w:r>
      <w:r>
        <w:rPr>
          <w:rFonts w:hint="eastAsia" w:ascii="仿宋_GB2312" w:hAnsi="仿宋_GB2312" w:eastAsia="仿宋_GB2312" w:cs="仿宋_GB2312"/>
          <w:sz w:val="32"/>
          <w:szCs w:val="32"/>
          <w:lang w:eastAsia="zh-CN"/>
        </w:rPr>
        <w:t>省药监局审核查验中心</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eastAsia="zh-CN"/>
        </w:rPr>
        <w:t>实施</w:t>
      </w:r>
      <w:r>
        <w:rPr>
          <w:rFonts w:hint="eastAsia" w:ascii="仿宋_GB2312" w:hAnsi="仿宋_GB2312" w:eastAsia="仿宋_GB2312" w:cs="仿宋_GB2312"/>
          <w:sz w:val="32"/>
          <w:szCs w:val="32"/>
        </w:rPr>
        <w:t>，应当及时从相关专业领域检查员库或者专家库中随机</w:t>
      </w:r>
      <w:r>
        <w:rPr>
          <w:rFonts w:hint="eastAsia" w:ascii="仿宋_GB2312" w:hAnsi="仿宋_GB2312" w:eastAsia="仿宋_GB2312" w:cs="仿宋_GB2312"/>
          <w:sz w:val="32"/>
          <w:szCs w:val="32"/>
          <w:lang w:eastAsia="zh-CN"/>
        </w:rPr>
        <w:t>抽调</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名以上检查员进行现场核查，</w:t>
      </w:r>
      <w:r>
        <w:rPr>
          <w:rFonts w:hint="eastAsia" w:ascii="仿宋_GB2312" w:hAnsi="仿宋_GB2312" w:eastAsia="仿宋_GB2312" w:cs="仿宋_GB2312"/>
          <w:sz w:val="32"/>
          <w:szCs w:val="32"/>
          <w:lang w:eastAsia="zh-CN"/>
        </w:rPr>
        <w:t>需要整改的事项待企业整改后，</w:t>
      </w:r>
      <w:r>
        <w:rPr>
          <w:rFonts w:hint="eastAsia" w:ascii="仿宋_GB2312" w:hAnsi="仿宋_GB2312" w:eastAsia="仿宋_GB2312" w:cs="仿宋_GB2312"/>
          <w:sz w:val="32"/>
          <w:szCs w:val="32"/>
        </w:rPr>
        <w:t>并在规定时限内向行政许可处提交现场核查的记录与</w:t>
      </w:r>
      <w:r>
        <w:rPr>
          <w:rFonts w:hint="eastAsia" w:ascii="仿宋_GB2312" w:hAnsi="仿宋_GB2312" w:eastAsia="仿宋_GB2312" w:cs="仿宋_GB2312"/>
          <w:sz w:val="32"/>
          <w:szCs w:val="32"/>
          <w:lang w:eastAsia="zh-CN"/>
        </w:rPr>
        <w:t>综合评定报告</w:t>
      </w:r>
      <w:r>
        <w:rPr>
          <w:rFonts w:hint="eastAsia" w:ascii="仿宋_GB2312" w:hAnsi="仿宋_GB2312" w:eastAsia="仿宋_GB2312" w:cs="仿宋_GB2312"/>
          <w:sz w:val="32"/>
          <w:szCs w:val="32"/>
        </w:rPr>
        <w:t>。</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十七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依法需要对申请行政许可事项进行检验鉴定等的，应当按有关规定由</w:t>
      </w:r>
      <w:r>
        <w:rPr>
          <w:rFonts w:hint="eastAsia" w:ascii="仿宋_GB2312" w:hAnsi="仿宋_GB2312" w:eastAsia="仿宋_GB2312" w:cs="仿宋_GB2312"/>
          <w:sz w:val="32"/>
          <w:szCs w:val="32"/>
          <w:lang w:eastAsia="zh-CN"/>
        </w:rPr>
        <w:t>省药监局审核查验中心</w:t>
      </w:r>
      <w:r>
        <w:rPr>
          <w:rFonts w:hint="eastAsia" w:ascii="仿宋_GB2312" w:hAnsi="仿宋_GB2312" w:eastAsia="仿宋_GB2312" w:cs="仿宋_GB2312"/>
          <w:sz w:val="32"/>
          <w:szCs w:val="32"/>
        </w:rPr>
        <w:t>现场抽取检品或依法通知申请人提交相关检品，组织有资质的检验检测机构开展检验检测工作。</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十八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依法需要对申请的行政许可事项进行技术审评的，</w:t>
      </w:r>
      <w:r>
        <w:rPr>
          <w:rFonts w:hint="eastAsia" w:ascii="仿宋_GB2312" w:hAnsi="仿宋_GB2312" w:eastAsia="仿宋_GB2312" w:cs="仿宋_GB2312"/>
          <w:sz w:val="32"/>
          <w:szCs w:val="32"/>
          <w:lang w:eastAsia="zh-CN"/>
        </w:rPr>
        <w:t>省药监局审核查验中心</w:t>
      </w:r>
      <w:r>
        <w:rPr>
          <w:rFonts w:hint="eastAsia" w:ascii="仿宋_GB2312" w:hAnsi="仿宋_GB2312" w:eastAsia="仿宋_GB2312" w:cs="仿宋_GB2312"/>
          <w:sz w:val="32"/>
          <w:szCs w:val="32"/>
        </w:rPr>
        <w:t>应按照相关法律法规、程序和技术审评要求，对申请事项进行系统评价，出具技术审评意见，形成</w:t>
      </w:r>
      <w:r>
        <w:rPr>
          <w:rFonts w:hint="eastAsia" w:ascii="仿宋_GB2312" w:hAnsi="仿宋_GB2312" w:eastAsia="仿宋_GB2312" w:cs="仿宋_GB2312"/>
          <w:sz w:val="32"/>
          <w:szCs w:val="32"/>
          <w:lang w:eastAsia="zh-CN"/>
        </w:rPr>
        <w:t>综合评定</w:t>
      </w:r>
      <w:r>
        <w:rPr>
          <w:rFonts w:hint="eastAsia" w:ascii="仿宋_GB2312" w:hAnsi="仿宋_GB2312" w:eastAsia="仿宋_GB2312" w:cs="仿宋_GB2312"/>
          <w:sz w:val="32"/>
          <w:szCs w:val="32"/>
        </w:rPr>
        <w:t>报告，提交行政许可处。</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十九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行政许可处对</w:t>
      </w:r>
      <w:r>
        <w:rPr>
          <w:rFonts w:hint="eastAsia" w:ascii="仿宋_GB2312" w:hAnsi="仿宋_GB2312" w:eastAsia="仿宋_GB2312" w:cs="仿宋_GB2312"/>
          <w:sz w:val="32"/>
          <w:szCs w:val="32"/>
          <w:lang w:eastAsia="zh-CN"/>
        </w:rPr>
        <w:t>省药监局审核查验中心</w:t>
      </w:r>
      <w:r>
        <w:rPr>
          <w:rFonts w:hint="eastAsia" w:ascii="仿宋_GB2312" w:hAnsi="仿宋_GB2312" w:eastAsia="仿宋_GB2312" w:cs="仿宋_GB2312"/>
          <w:sz w:val="32"/>
          <w:szCs w:val="32"/>
        </w:rPr>
        <w:t>作出的审评意见有异议的，可要求复查或组织专家对原申报资料、原审评意见进行复审。复查工作应按规定告知复查理由和依据，并明确复查内容、方式和时限。</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center"/>
        <w:textAlignment w:val="auto"/>
        <w:outlineLvl w:val="1"/>
        <w:rPr>
          <w:rFonts w:hint="eastAsia" w:ascii="仿宋_GB2312" w:hAnsi="仿宋_GB2312" w:eastAsia="仿宋_GB2312" w:cs="仿宋_GB2312"/>
          <w:sz w:val="32"/>
          <w:szCs w:val="32"/>
        </w:rPr>
      </w:pPr>
      <w:bookmarkStart w:id="5" w:name="heading_5"/>
      <w:r>
        <w:rPr>
          <w:rFonts w:hint="eastAsia" w:ascii="仿宋_GB2312" w:hAnsi="仿宋_GB2312" w:eastAsia="仿宋_GB2312" w:cs="仿宋_GB2312"/>
          <w:b/>
          <w:sz w:val="32"/>
          <w:szCs w:val="32"/>
        </w:rPr>
        <w:t xml:space="preserve">第三节 </w:t>
      </w:r>
      <w:r>
        <w:rPr>
          <w:rFonts w:hint="eastAsia" w:ascii="仿宋_GB2312" w:hAnsi="仿宋_GB2312" w:eastAsia="仿宋_GB2312" w:cs="仿宋_GB2312"/>
          <w:b/>
          <w:sz w:val="32"/>
          <w:szCs w:val="32"/>
          <w:lang w:eastAsia="zh-CN"/>
        </w:rPr>
        <w:t>行政审查与</w:t>
      </w:r>
      <w:r>
        <w:rPr>
          <w:rFonts w:hint="eastAsia" w:ascii="仿宋_GB2312" w:hAnsi="仿宋_GB2312" w:eastAsia="仿宋_GB2312" w:cs="仿宋_GB2312"/>
          <w:b/>
          <w:sz w:val="32"/>
          <w:szCs w:val="32"/>
        </w:rPr>
        <w:t>决定</w:t>
      </w:r>
      <w:bookmarkEnd w:id="5"/>
    </w:p>
    <w:p>
      <w:pPr>
        <w:pStyle w:val="7"/>
        <w:keepNext/>
        <w:keepLines w:val="0"/>
        <w:pageBreakBefore w:val="0"/>
        <w:widowControl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第二十条</w:t>
      </w:r>
      <w:r>
        <w:rPr>
          <w:rFonts w:hint="eastAsia" w:ascii="仿宋_GB2312" w:hAnsi="仿宋_GB2312" w:eastAsia="仿宋_GB2312" w:cs="仿宋_GB2312"/>
          <w:sz w:val="32"/>
          <w:szCs w:val="32"/>
        </w:rPr>
        <w:t xml:space="preserve"> 行政许可处对申请资料、受理情况及审评</w:t>
      </w:r>
      <w:r>
        <w:rPr>
          <w:rFonts w:hint="eastAsia" w:ascii="仿宋_GB2312" w:hAnsi="仿宋_GB2312" w:eastAsia="仿宋_GB2312" w:cs="仿宋_GB2312"/>
          <w:sz w:val="32"/>
          <w:szCs w:val="32"/>
          <w:lang w:eastAsia="zh-CN"/>
        </w:rPr>
        <w:t>检查</w:t>
      </w:r>
      <w:r>
        <w:rPr>
          <w:rFonts w:hint="eastAsia" w:ascii="仿宋_GB2312" w:hAnsi="仿宋_GB2312" w:eastAsia="仿宋_GB2312" w:cs="仿宋_GB2312"/>
          <w:sz w:val="32"/>
          <w:szCs w:val="32"/>
        </w:rPr>
        <w:t>意见进行全面审核，提出是否准予许可的建议并按程序签批；准予许可的，由药品监管分中心</w:t>
      </w:r>
      <w:r>
        <w:rPr>
          <w:rFonts w:hint="eastAsia" w:ascii="仿宋_GB2312" w:hAnsi="仿宋_GB2312" w:eastAsia="仿宋_GB2312" w:cs="仿宋_GB2312"/>
          <w:sz w:val="32"/>
          <w:szCs w:val="32"/>
          <w:lang w:eastAsia="zh-CN"/>
        </w:rPr>
        <w:t>按规定载明有关事项后，</w:t>
      </w:r>
      <w:r>
        <w:rPr>
          <w:rFonts w:hint="eastAsia" w:ascii="仿宋_GB2312" w:hAnsi="仿宋_GB2312" w:eastAsia="仿宋_GB2312" w:cs="仿宋_GB2312"/>
          <w:sz w:val="32"/>
          <w:szCs w:val="32"/>
        </w:rPr>
        <w:t>向申请人发放许可批件；不予许可的，书面说明理由并明确告知申请人享有申请行政复议或提起行政诉讼的权利。</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eastAsia="zh-CN"/>
        </w:rPr>
        <w:t>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依法依规可以</w:t>
      </w:r>
      <w:r>
        <w:rPr>
          <w:rFonts w:hint="eastAsia" w:ascii="仿宋_GB2312" w:hAnsi="仿宋_GB2312" w:eastAsia="仿宋_GB2312" w:cs="仿宋_GB2312"/>
          <w:sz w:val="32"/>
          <w:szCs w:val="32"/>
        </w:rPr>
        <w:t>当场作出行政许可</w:t>
      </w:r>
      <w:r>
        <w:rPr>
          <w:rFonts w:hint="eastAsia" w:ascii="仿宋_GB2312" w:hAnsi="仿宋_GB2312" w:eastAsia="仿宋_GB2312" w:cs="仿宋_GB2312"/>
          <w:sz w:val="32"/>
          <w:szCs w:val="32"/>
          <w:lang w:eastAsia="zh-CN"/>
        </w:rPr>
        <w:t>决定的</w:t>
      </w:r>
      <w:r>
        <w:rPr>
          <w:rFonts w:hint="eastAsia" w:ascii="仿宋_GB2312" w:hAnsi="仿宋_GB2312" w:eastAsia="仿宋_GB2312" w:cs="仿宋_GB2312"/>
          <w:sz w:val="32"/>
          <w:szCs w:val="32"/>
        </w:rPr>
        <w:t>，由药品监管分中心</w:t>
      </w:r>
      <w:r>
        <w:rPr>
          <w:rFonts w:hint="eastAsia" w:ascii="仿宋_GB2312" w:hAnsi="仿宋_GB2312" w:eastAsia="仿宋_GB2312" w:cs="仿宋_GB2312"/>
          <w:sz w:val="32"/>
          <w:szCs w:val="32"/>
          <w:lang w:eastAsia="zh-CN"/>
        </w:rPr>
        <w:t>负责人</w:t>
      </w:r>
      <w:r>
        <w:rPr>
          <w:rFonts w:hint="eastAsia" w:ascii="仿宋_GB2312" w:hAnsi="仿宋_GB2312" w:eastAsia="仿宋_GB2312" w:cs="仿宋_GB2312"/>
          <w:sz w:val="32"/>
          <w:szCs w:val="32"/>
        </w:rPr>
        <w:t>签批；首次核发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换发许可证</w:t>
      </w:r>
      <w:r>
        <w:rPr>
          <w:rFonts w:hint="eastAsia" w:ascii="仿宋_GB2312" w:hAnsi="仿宋_GB2312" w:eastAsia="仿宋_GB2312" w:cs="仿宋_GB2312"/>
          <w:sz w:val="32"/>
          <w:szCs w:val="32"/>
          <w:lang w:eastAsia="zh-CN"/>
        </w:rPr>
        <w:t>以及首次注册的许可</w:t>
      </w:r>
      <w:r>
        <w:rPr>
          <w:rFonts w:hint="eastAsia" w:ascii="仿宋_GB2312" w:hAnsi="仿宋_GB2312" w:eastAsia="仿宋_GB2312" w:cs="仿宋_GB2312"/>
          <w:sz w:val="32"/>
          <w:szCs w:val="32"/>
        </w:rPr>
        <w:t>事项，由省药监局主要负责人签批；其他许可</w:t>
      </w:r>
      <w:r>
        <w:rPr>
          <w:rFonts w:hint="eastAsia" w:ascii="仿宋_GB2312" w:hAnsi="仿宋_GB2312" w:eastAsia="仿宋_GB2312" w:cs="仿宋_GB2312"/>
          <w:sz w:val="32"/>
          <w:szCs w:val="32"/>
          <w:lang w:eastAsia="zh-CN"/>
        </w:rPr>
        <w:t>事项，由省药监局分管领导签批；其余</w:t>
      </w:r>
      <w:r>
        <w:rPr>
          <w:rFonts w:hint="eastAsia" w:ascii="仿宋_GB2312" w:hAnsi="仿宋_GB2312" w:eastAsia="仿宋_GB2312" w:cs="仿宋_GB2312"/>
          <w:sz w:val="32"/>
          <w:szCs w:val="32"/>
        </w:rPr>
        <w:t>事项，由行政许可处主要负责人签批。</w:t>
      </w:r>
    </w:p>
    <w:p>
      <w:pPr>
        <w:keepNext/>
        <w:keepLines w:val="0"/>
        <w:pageBreakBefore w:val="0"/>
        <w:widowControl w:val="0"/>
        <w:numPr>
          <w:ilvl w:val="0"/>
          <w:numId w:val="1"/>
        </w:numPr>
        <w:kinsoku/>
        <w:wordWrap/>
        <w:overflowPunct/>
        <w:topLinePunct w:val="0"/>
        <w:autoSpaceDE/>
        <w:autoSpaceDN/>
        <w:bidi w:val="0"/>
        <w:adjustRightInd/>
        <w:snapToGrid/>
        <w:spacing w:line="640" w:lineRule="exact"/>
        <w:ind w:left="0" w:leftChars="0" w:right="0"/>
        <w:jc w:val="center"/>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lang w:eastAsia="zh-CN"/>
        </w:rPr>
        <w:t>制证送达</w:t>
      </w:r>
    </w:p>
    <w:p>
      <w:pPr>
        <w:keepNext/>
        <w:keepLines w:val="0"/>
        <w:pageBreakBefore w:val="0"/>
        <w:widowControl w:val="0"/>
        <w:numPr>
          <w:ilvl w:val="0"/>
          <w:numId w:val="0"/>
        </w:numPr>
        <w:kinsoku/>
        <w:wordWrap/>
        <w:overflowPunct/>
        <w:topLinePunct w:val="0"/>
        <w:autoSpaceDE/>
        <w:autoSpaceDN/>
        <w:bidi w:val="0"/>
        <w:adjustRightInd/>
        <w:snapToGrid/>
        <w:spacing w:line="640" w:lineRule="exact"/>
        <w:ind w:left="0" w:leftChars="0" w:right="0" w:firstLine="642" w:firstLineChars="200"/>
        <w:jc w:val="both"/>
        <w:textAlignment w:val="auto"/>
        <w:outlineLvl w:val="9"/>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eastAsia="zh-CN"/>
        </w:rPr>
        <w:t>二</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许可决定作出后，药品监管分中心在规定时限内完成制证送达。许可证换发的，延续有效期自原许可证届满的次日起算。不予许可的，出具《不予许可决定书》，载明理由、依据及救济途径，留存送达回执，依法公开结果。</w:t>
      </w:r>
    </w:p>
    <w:p>
      <w:pPr>
        <w:keepNext/>
        <w:keepLines w:val="0"/>
        <w:pageBreakBefore w:val="0"/>
        <w:widowControl w:val="0"/>
        <w:numPr>
          <w:ilvl w:val="0"/>
          <w:numId w:val="1"/>
        </w:numPr>
        <w:kinsoku/>
        <w:wordWrap/>
        <w:overflowPunct/>
        <w:topLinePunct w:val="0"/>
        <w:autoSpaceDE/>
        <w:autoSpaceDN/>
        <w:bidi w:val="0"/>
        <w:adjustRightInd/>
        <w:snapToGrid/>
        <w:spacing w:line="640" w:lineRule="exact"/>
        <w:ind w:left="0" w:leftChars="0" w:right="0"/>
        <w:jc w:val="center"/>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val="en-US" w:eastAsia="zh-CN"/>
        </w:rPr>
        <w:t xml:space="preserve"> 终止与听证</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eastAsia="zh-CN"/>
        </w:rPr>
        <w:t>三</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许可申请受理后至决定作出前，有下列情形之一的，终止实施行政许可或备案：（一）申请人主动申请终止的；（二）申请人为自然人的，该自然人死亡或丧失民事行为能力；申请人为法人的，该法人依法终止的；（三）因法律法规修改或废止导致该事项无需许可或备案的；（四）依法需缴纳费用但未按期缴纳的；（五）因不可抗力导致无法继续实施的；（六）法律法规规定的其他应当终止的情形。</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许可申请受理后至决定作出前，申请人可通过书面形式或</w:t>
      </w:r>
      <w:r>
        <w:rPr>
          <w:rFonts w:hint="eastAsia" w:ascii="仿宋_GB2312" w:hAnsi="仿宋_GB2312" w:eastAsia="仿宋_GB2312" w:cs="仿宋_GB2312"/>
          <w:sz w:val="32"/>
          <w:szCs w:val="32"/>
          <w:lang w:eastAsia="zh-CN"/>
        </w:rPr>
        <w:t>监管平台</w:t>
      </w:r>
      <w:r>
        <w:rPr>
          <w:rFonts w:hint="eastAsia" w:ascii="仿宋_GB2312" w:hAnsi="仿宋_GB2312" w:eastAsia="仿宋_GB2312" w:cs="仿宋_GB2312"/>
          <w:sz w:val="32"/>
          <w:szCs w:val="32"/>
        </w:rPr>
        <w:t>申请撤回申请，经同意后终止办理程序并</w:t>
      </w:r>
      <w:r>
        <w:rPr>
          <w:rFonts w:hint="eastAsia" w:ascii="仿宋_GB2312" w:hAnsi="仿宋_GB2312" w:eastAsia="仿宋_GB2312" w:cs="仿宋_GB2312"/>
          <w:sz w:val="32"/>
          <w:szCs w:val="32"/>
          <w:lang w:eastAsia="zh-CN"/>
        </w:rPr>
        <w:t>通过监管平台</w:t>
      </w:r>
      <w:r>
        <w:rPr>
          <w:rFonts w:hint="eastAsia" w:ascii="仿宋_GB2312" w:hAnsi="仿宋_GB2312" w:eastAsia="仿宋_GB2312" w:cs="仿宋_GB2312"/>
          <w:sz w:val="32"/>
          <w:szCs w:val="32"/>
        </w:rPr>
        <w:t>及时通知申请人。</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第二十</w:t>
      </w:r>
      <w:r>
        <w:rPr>
          <w:rFonts w:hint="eastAsia" w:ascii="仿宋_GB2312" w:hAnsi="仿宋_GB2312" w:eastAsia="仿宋_GB2312" w:cs="仿宋_GB2312"/>
          <w:b/>
          <w:sz w:val="32"/>
          <w:szCs w:val="32"/>
          <w:lang w:eastAsia="zh-CN"/>
        </w:rPr>
        <w:t>五</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属于法定听证范围的行政许可事项，或涉及重大公共利益需听证的许可事项，</w:t>
      </w:r>
      <w:r>
        <w:rPr>
          <w:rFonts w:hint="eastAsia" w:ascii="仿宋_GB2312" w:hAnsi="仿宋_GB2312" w:eastAsia="仿宋_GB2312" w:cs="仿宋_GB2312"/>
          <w:sz w:val="32"/>
          <w:szCs w:val="32"/>
          <w:shd w:val="clear" w:color="auto" w:fill="auto"/>
        </w:rPr>
        <w:t>由政策法规处组织听证</w:t>
      </w:r>
      <w:r>
        <w:rPr>
          <w:rFonts w:hint="eastAsia" w:ascii="仿宋_GB2312" w:hAnsi="仿宋_GB2312" w:eastAsia="仿宋_GB2312" w:cs="仿宋_GB2312"/>
          <w:sz w:val="32"/>
          <w:szCs w:val="32"/>
        </w:rPr>
        <w:t>；备案事项不涉及听证程序，业务监管处在核查中发现备案内容可能损害公共利益的，应报请省药监局组织论证。</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center"/>
        <w:textAlignment w:val="auto"/>
        <w:outlineLvl w:val="1"/>
        <w:rPr>
          <w:rFonts w:hint="eastAsia" w:ascii="仿宋_GB2312" w:hAnsi="仿宋_GB2312" w:eastAsia="仿宋_GB2312" w:cs="仿宋_GB2312"/>
          <w:sz w:val="32"/>
          <w:szCs w:val="32"/>
        </w:rPr>
      </w:pPr>
      <w:bookmarkStart w:id="6" w:name="heading_6"/>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五</w:t>
      </w:r>
      <w:r>
        <w:rPr>
          <w:rFonts w:hint="eastAsia" w:ascii="仿宋_GB2312" w:hAnsi="仿宋_GB2312" w:eastAsia="仿宋_GB2312" w:cs="仿宋_GB2312"/>
          <w:b/>
          <w:sz w:val="32"/>
          <w:szCs w:val="32"/>
        </w:rPr>
        <w:t>节 期限和收费</w:t>
      </w:r>
      <w:bookmarkEnd w:id="6"/>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二十六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省药监局</w:t>
      </w:r>
      <w:r>
        <w:rPr>
          <w:rFonts w:hint="eastAsia" w:ascii="仿宋_GB2312" w:hAnsi="仿宋_GB2312" w:eastAsia="仿宋_GB2312" w:cs="仿宋_GB2312"/>
          <w:sz w:val="32"/>
          <w:szCs w:val="32"/>
          <w:lang w:eastAsia="zh-CN"/>
        </w:rPr>
        <w:t>应</w:t>
      </w:r>
      <w:r>
        <w:rPr>
          <w:rFonts w:hint="eastAsia" w:ascii="仿宋_GB2312" w:hAnsi="仿宋_GB2312" w:eastAsia="仿宋_GB2312" w:cs="仿宋_GB2312"/>
          <w:sz w:val="32"/>
          <w:szCs w:val="32"/>
          <w:lang w:val="en-US" w:eastAsia="zh-CN"/>
        </w:rPr>
        <w:t>切实提升政务服务质效，</w:t>
      </w:r>
      <w:r>
        <w:rPr>
          <w:rFonts w:hint="eastAsia" w:ascii="仿宋_GB2312" w:hAnsi="仿宋_GB2312" w:eastAsia="仿宋_GB2312" w:cs="仿宋_GB2312"/>
          <w:sz w:val="32"/>
          <w:szCs w:val="32"/>
          <w:lang w:eastAsia="zh-CN"/>
        </w:rPr>
        <w:t>结合实际，</w:t>
      </w:r>
      <w:r>
        <w:rPr>
          <w:rFonts w:hint="eastAsia" w:ascii="仿宋_GB2312" w:hAnsi="仿宋_GB2312" w:eastAsia="仿宋_GB2312" w:cs="仿宋_GB2312"/>
          <w:sz w:val="32"/>
          <w:szCs w:val="32"/>
        </w:rPr>
        <w:t>在法定时限内进一步压缩审批时限，行政许可处自受理申请之日起在承诺期限内作出许可决定。</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二十七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听证、检验、现场检查、技术审评</w:t>
      </w:r>
      <w:r>
        <w:rPr>
          <w:rFonts w:hint="eastAsia" w:ascii="仿宋_GB2312" w:hAnsi="仿宋_GB2312" w:eastAsia="仿宋_GB2312" w:cs="仿宋_GB2312"/>
          <w:sz w:val="32"/>
          <w:szCs w:val="32"/>
          <w:lang w:eastAsia="zh-CN"/>
        </w:rPr>
        <w:t>、公示</w:t>
      </w:r>
      <w:r>
        <w:rPr>
          <w:rFonts w:hint="eastAsia" w:ascii="仿宋_GB2312" w:hAnsi="仿宋_GB2312" w:eastAsia="仿宋_GB2312" w:cs="仿宋_GB2312"/>
          <w:sz w:val="32"/>
          <w:szCs w:val="32"/>
        </w:rPr>
        <w:t>等环节所需时间不计入许可承诺期限；法律、法规另有规定的，从其规定。</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二十八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除法律法规规章明确规定外，实施行政许可不得向申请人收取任何费用；依法收取的许可费用，严格按照相关规定管理和使用。</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center"/>
        <w:textAlignment w:val="auto"/>
        <w:outlineLvl w:val="0"/>
        <w:rPr>
          <w:rFonts w:hint="eastAsia" w:ascii="黑体" w:hAnsi="黑体" w:eastAsia="黑体" w:cs="黑体"/>
          <w:b w:val="0"/>
          <w:bCs/>
          <w:sz w:val="32"/>
          <w:szCs w:val="32"/>
        </w:rPr>
      </w:pPr>
      <w:bookmarkStart w:id="7" w:name="heading_7"/>
      <w:r>
        <w:rPr>
          <w:rFonts w:hint="eastAsia" w:ascii="黑体" w:hAnsi="黑体" w:eastAsia="黑体" w:cs="黑体"/>
          <w:b w:val="0"/>
          <w:bCs/>
          <w:sz w:val="32"/>
          <w:szCs w:val="32"/>
        </w:rPr>
        <w:t>第四章 职能衔接</w:t>
      </w:r>
      <w:bookmarkEnd w:id="7"/>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center"/>
        <w:textAlignment w:val="auto"/>
        <w:outlineLvl w:val="1"/>
        <w:rPr>
          <w:rFonts w:hint="eastAsia" w:ascii="仿宋_GB2312" w:hAnsi="仿宋_GB2312" w:eastAsia="仿宋_GB2312" w:cs="仿宋_GB2312"/>
          <w:sz w:val="32"/>
          <w:szCs w:val="32"/>
        </w:rPr>
      </w:pPr>
      <w:bookmarkStart w:id="8" w:name="heading_8"/>
      <w:r>
        <w:rPr>
          <w:rFonts w:hint="eastAsia" w:ascii="仿宋_GB2312" w:hAnsi="仿宋_GB2312" w:eastAsia="仿宋_GB2312" w:cs="仿宋_GB2312"/>
          <w:b/>
          <w:sz w:val="32"/>
          <w:szCs w:val="32"/>
        </w:rPr>
        <w:t>第一节 信息互通</w:t>
      </w:r>
      <w:bookmarkEnd w:id="8"/>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二十九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行政许可处与业务监管处通过</w:t>
      </w:r>
      <w:r>
        <w:rPr>
          <w:rFonts w:hint="eastAsia" w:ascii="仿宋_GB2312" w:hAnsi="仿宋_GB2312" w:eastAsia="仿宋_GB2312" w:cs="仿宋_GB2312"/>
          <w:sz w:val="32"/>
          <w:szCs w:val="32"/>
          <w:lang w:eastAsia="zh-CN"/>
        </w:rPr>
        <w:t>监管</w:t>
      </w:r>
      <w:r>
        <w:rPr>
          <w:rFonts w:hint="eastAsia" w:ascii="仿宋_GB2312" w:hAnsi="仿宋_GB2312" w:eastAsia="仿宋_GB2312" w:cs="仿宋_GB2312"/>
          <w:sz w:val="32"/>
          <w:szCs w:val="32"/>
        </w:rPr>
        <w:t>平台</w:t>
      </w:r>
      <w:r>
        <w:rPr>
          <w:rFonts w:hint="eastAsia" w:ascii="仿宋_GB2312" w:hAnsi="仿宋_GB2312" w:eastAsia="仿宋_GB2312" w:cs="仿宋_GB2312"/>
          <w:sz w:val="32"/>
          <w:szCs w:val="32"/>
          <w:lang w:eastAsia="zh-CN"/>
        </w:rPr>
        <w:t>双向推送信息</w:t>
      </w:r>
      <w:r>
        <w:rPr>
          <w:rFonts w:hint="eastAsia" w:ascii="仿宋_GB2312" w:hAnsi="仿宋_GB2312" w:eastAsia="仿宋_GB2312" w:cs="仿宋_GB2312"/>
          <w:sz w:val="32"/>
          <w:szCs w:val="32"/>
        </w:rPr>
        <w:t>，建立常态化信息互通</w:t>
      </w:r>
      <w:r>
        <w:rPr>
          <w:rFonts w:hint="eastAsia" w:ascii="仿宋_GB2312" w:hAnsi="仿宋_GB2312" w:eastAsia="仿宋_GB2312" w:cs="仿宋_GB2312"/>
          <w:sz w:val="32"/>
          <w:szCs w:val="32"/>
          <w:lang w:eastAsia="zh-CN"/>
        </w:rPr>
        <w:t>联动</w:t>
      </w:r>
      <w:r>
        <w:rPr>
          <w:rFonts w:hint="eastAsia" w:ascii="仿宋_GB2312" w:hAnsi="仿宋_GB2312" w:eastAsia="仿宋_GB2312" w:cs="仿宋_GB2312"/>
          <w:sz w:val="32"/>
          <w:szCs w:val="32"/>
        </w:rPr>
        <w:t>机制：</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（一）行政许可处在</w:t>
      </w:r>
      <w:r>
        <w:rPr>
          <w:rFonts w:hint="eastAsia" w:ascii="仿宋_GB2312" w:hAnsi="仿宋_GB2312" w:eastAsia="仿宋_GB2312" w:cs="仿宋_GB2312"/>
          <w:sz w:val="32"/>
          <w:szCs w:val="32"/>
          <w:lang w:eastAsia="zh-CN"/>
        </w:rPr>
        <w:t>监管平台</w:t>
      </w:r>
      <w:r>
        <w:rPr>
          <w:rFonts w:hint="eastAsia" w:ascii="仿宋_GB2312" w:hAnsi="仿宋_GB2312" w:eastAsia="仿宋_GB2312" w:cs="仿宋_GB2312"/>
          <w:sz w:val="32"/>
          <w:szCs w:val="32"/>
        </w:rPr>
        <w:t>设置专门告知环节，同步将许可信息推送至业务监管处，业务监管处应在5个工作日内完成签收；</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监管平台设置</w:t>
      </w:r>
      <w:r>
        <w:rPr>
          <w:rFonts w:hint="eastAsia" w:ascii="仿宋_GB2312" w:hAnsi="仿宋_GB2312" w:eastAsia="仿宋_GB2312" w:cs="仿宋_GB2312"/>
          <w:sz w:val="32"/>
          <w:szCs w:val="32"/>
        </w:rPr>
        <w:t>查询统计功能，业务监管处</w:t>
      </w:r>
      <w:r>
        <w:rPr>
          <w:rFonts w:hint="eastAsia" w:ascii="仿宋_GB2312" w:hAnsi="仿宋_GB2312" w:eastAsia="仿宋_GB2312" w:cs="仿宋_GB2312"/>
          <w:sz w:val="32"/>
          <w:szCs w:val="32"/>
          <w:lang w:eastAsia="zh-CN"/>
        </w:rPr>
        <w:t>可根据工作需要随时查询与本处业务对应的审批事项</w:t>
      </w:r>
      <w:r>
        <w:rPr>
          <w:rFonts w:hint="eastAsia" w:ascii="仿宋_GB2312" w:hAnsi="仿宋_GB2312" w:eastAsia="仿宋_GB2312" w:cs="仿宋_GB2312"/>
          <w:sz w:val="32"/>
          <w:szCs w:val="32"/>
        </w:rPr>
        <w:t>；</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监管平台稽查执法模块启</w:t>
      </w:r>
      <w:r>
        <w:rPr>
          <w:rFonts w:hint="eastAsia" w:ascii="仿宋_GB2312" w:hAnsi="仿宋_GB2312" w:eastAsia="仿宋_GB2312" w:cs="仿宋_GB2312"/>
          <w:sz w:val="32"/>
          <w:szCs w:val="32"/>
        </w:rPr>
        <w:t>用后，业务监管处</w:t>
      </w:r>
      <w:r>
        <w:rPr>
          <w:rFonts w:hint="eastAsia" w:ascii="仿宋_GB2312" w:hAnsi="仿宋_GB2312" w:eastAsia="仿宋_GB2312" w:cs="仿宋_GB2312"/>
          <w:sz w:val="32"/>
          <w:szCs w:val="32"/>
          <w:lang w:eastAsia="zh-CN"/>
        </w:rPr>
        <w:t>应</w:t>
      </w:r>
      <w:r>
        <w:rPr>
          <w:rFonts w:hint="eastAsia" w:ascii="仿宋_GB2312" w:hAnsi="仿宋_GB2312" w:eastAsia="仿宋_GB2312" w:cs="仿宋_GB2312"/>
          <w:sz w:val="32"/>
          <w:szCs w:val="32"/>
        </w:rPr>
        <w:t>及时将</w:t>
      </w:r>
      <w:r>
        <w:rPr>
          <w:rFonts w:hint="eastAsia" w:ascii="仿宋_GB2312" w:hAnsi="仿宋_GB2312" w:eastAsia="仿宋_GB2312" w:cs="仿宋_GB2312"/>
          <w:sz w:val="32"/>
          <w:szCs w:val="32"/>
          <w:lang w:eastAsia="zh-CN"/>
        </w:rPr>
        <w:t>监管信息</w:t>
      </w:r>
      <w:r>
        <w:rPr>
          <w:rFonts w:hint="eastAsia" w:ascii="仿宋_GB2312" w:hAnsi="仿宋_GB2312" w:eastAsia="仿宋_GB2312" w:cs="仿宋_GB2312"/>
          <w:sz w:val="32"/>
          <w:szCs w:val="32"/>
        </w:rPr>
        <w:t>录入系统，供行政许可处查询使用；未</w:t>
      </w:r>
      <w:r>
        <w:rPr>
          <w:rFonts w:hint="eastAsia" w:ascii="仿宋_GB2312" w:hAnsi="仿宋_GB2312" w:eastAsia="仿宋_GB2312" w:cs="仿宋_GB2312"/>
          <w:sz w:val="32"/>
          <w:szCs w:val="32"/>
          <w:lang w:eastAsia="zh-CN"/>
        </w:rPr>
        <w:t>启用</w:t>
      </w:r>
      <w:r>
        <w:rPr>
          <w:rFonts w:hint="eastAsia" w:ascii="仿宋_GB2312" w:hAnsi="仿宋_GB2312" w:eastAsia="仿宋_GB2312" w:cs="仿宋_GB2312"/>
          <w:sz w:val="32"/>
          <w:szCs w:val="32"/>
        </w:rPr>
        <w:t>前，业务监管处</w:t>
      </w:r>
      <w:r>
        <w:rPr>
          <w:rFonts w:hint="eastAsia" w:ascii="仿宋_GB2312" w:hAnsi="仿宋_GB2312" w:eastAsia="仿宋_GB2312" w:cs="仿宋_GB2312"/>
          <w:sz w:val="32"/>
          <w:szCs w:val="32"/>
          <w:lang w:eastAsia="zh-CN"/>
        </w:rPr>
        <w:t>可</w:t>
      </w:r>
      <w:r>
        <w:rPr>
          <w:rFonts w:hint="eastAsia" w:ascii="仿宋_GB2312" w:hAnsi="仿宋_GB2312" w:eastAsia="仿宋_GB2312" w:cs="仿宋_GB2312"/>
          <w:sz w:val="32"/>
          <w:szCs w:val="32"/>
        </w:rPr>
        <w:t>通过书面形式推送监管信息；</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（四）特殊情形下，通过函告、抄送等书面形式精准推送信息</w:t>
      </w:r>
      <w:r>
        <w:rPr>
          <w:rFonts w:hint="eastAsia" w:ascii="仿宋_GB2312" w:hAnsi="仿宋_GB2312" w:eastAsia="仿宋_GB2312" w:cs="仿宋_GB2312"/>
          <w:sz w:val="32"/>
          <w:szCs w:val="32"/>
          <w:lang w:eastAsia="zh-CN"/>
        </w:rPr>
        <w:t>。</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三十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信息推送内容及处置要求如下：</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（一）行政许可处推送的</w:t>
      </w:r>
      <w:r>
        <w:rPr>
          <w:rFonts w:hint="eastAsia" w:ascii="仿宋_GB2312" w:hAnsi="仿宋_GB2312" w:eastAsia="仿宋_GB2312" w:cs="仿宋_GB2312"/>
          <w:sz w:val="32"/>
          <w:szCs w:val="32"/>
          <w:lang w:eastAsia="zh-CN"/>
        </w:rPr>
        <w:t>许可</w:t>
      </w:r>
      <w:r>
        <w:rPr>
          <w:rFonts w:hint="eastAsia" w:ascii="仿宋_GB2312" w:hAnsi="仿宋_GB2312" w:eastAsia="仿宋_GB2312" w:cs="仿宋_GB2312"/>
          <w:sz w:val="32"/>
          <w:szCs w:val="32"/>
        </w:rPr>
        <w:t>信息包括行政相对人基本信息、许可核心信息、审批要件、承诺书等；</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（二）业务监管处推送的监管信息包括行政措施、行政处罚决定、诚信评价情况、限制从业</w:t>
      </w:r>
      <w:r>
        <w:rPr>
          <w:rFonts w:hint="eastAsia" w:ascii="仿宋_GB2312" w:hAnsi="仿宋_GB2312" w:eastAsia="仿宋_GB2312" w:cs="仿宋_GB2312"/>
          <w:sz w:val="32"/>
          <w:szCs w:val="32"/>
          <w:lang w:eastAsia="zh-CN"/>
        </w:rPr>
        <w:t>以及注销等</w:t>
      </w:r>
      <w:r>
        <w:rPr>
          <w:rFonts w:hint="eastAsia" w:ascii="仿宋_GB2312" w:hAnsi="仿宋_GB2312" w:eastAsia="仿宋_GB2312" w:cs="仿宋_GB2312"/>
          <w:sz w:val="32"/>
          <w:szCs w:val="32"/>
        </w:rPr>
        <w:t>情况；</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（三）行政许可处</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审批过程中发现</w:t>
      </w:r>
      <w:r>
        <w:rPr>
          <w:rFonts w:hint="eastAsia" w:ascii="仿宋_GB2312" w:hAnsi="仿宋_GB2312" w:eastAsia="仿宋_GB2312" w:cs="仿宋_GB2312"/>
          <w:sz w:val="32"/>
          <w:szCs w:val="32"/>
          <w:lang w:eastAsia="zh-CN"/>
        </w:rPr>
        <w:t>提供</w:t>
      </w:r>
      <w:r>
        <w:rPr>
          <w:rFonts w:hint="eastAsia" w:ascii="仿宋_GB2312" w:hAnsi="仿宋_GB2312" w:eastAsia="仿宋_GB2312" w:cs="仿宋_GB2312"/>
          <w:sz w:val="32"/>
          <w:szCs w:val="32"/>
        </w:rPr>
        <w:t>虚假材料</w:t>
      </w:r>
      <w:r>
        <w:rPr>
          <w:rFonts w:hint="eastAsia" w:ascii="仿宋_GB2312" w:hAnsi="仿宋_GB2312" w:eastAsia="仿宋_GB2312" w:cs="仿宋_GB2312"/>
          <w:sz w:val="32"/>
          <w:szCs w:val="32"/>
          <w:lang w:eastAsia="zh-CN"/>
        </w:rPr>
        <w:t>、涉嫌</w:t>
      </w:r>
      <w:r>
        <w:rPr>
          <w:rFonts w:hint="eastAsia" w:ascii="仿宋_GB2312" w:hAnsi="仿宋_GB2312" w:eastAsia="仿宋_GB2312" w:cs="仿宋_GB2312"/>
          <w:sz w:val="32"/>
          <w:szCs w:val="32"/>
        </w:rPr>
        <w:t>违法违规行为的，书面通报业务监管处核查处置；</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left"/>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业务监管处</w:t>
      </w:r>
      <w:r>
        <w:rPr>
          <w:rFonts w:hint="eastAsia" w:ascii="仿宋_GB2312" w:hAnsi="仿宋_GB2312" w:eastAsia="仿宋_GB2312" w:cs="仿宋_GB2312"/>
          <w:sz w:val="32"/>
          <w:szCs w:val="32"/>
        </w:rPr>
        <w:t>在监管中发现许可不当的，书面通报行政许可处，行政许可处核实后及时纠正。</w:t>
      </w:r>
      <w:r>
        <w:rPr>
          <w:rFonts w:hint="eastAsia" w:ascii="仿宋_GB2312" w:hAnsi="仿宋_GB2312" w:eastAsia="仿宋_GB2312" w:cs="仿宋_GB2312"/>
          <w:b/>
          <w:sz w:val="32"/>
          <w:szCs w:val="32"/>
          <w:lang w:val="en-US" w:eastAsia="zh-CN"/>
        </w:rPr>
        <w:t xml:space="preserve">    </w:t>
      </w:r>
    </w:p>
    <w:p>
      <w:pPr>
        <w:keepNext/>
        <w:widowControl w:val="0"/>
        <w:wordWrap/>
        <w:adjustRightInd/>
        <w:snapToGrid/>
        <w:spacing w:line="360" w:lineRule="auto"/>
        <w:ind w:left="0" w:leftChars="0" w:right="0" w:firstLine="64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eastAsia="zh-CN"/>
        </w:rPr>
        <w:t>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业务监管处与行政许可处应及时互通相关法律法规、政策文件，相关培训及会议互派人员参加。</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center"/>
        <w:textAlignment w:val="auto"/>
        <w:outlineLvl w:val="1"/>
        <w:rPr>
          <w:rFonts w:hint="eastAsia" w:ascii="仿宋_GB2312" w:hAnsi="仿宋_GB2312" w:eastAsia="仿宋_GB2312" w:cs="仿宋_GB2312"/>
          <w:sz w:val="32"/>
          <w:szCs w:val="32"/>
        </w:rPr>
      </w:pPr>
      <w:bookmarkStart w:id="9" w:name="heading_9"/>
      <w:r>
        <w:rPr>
          <w:rFonts w:hint="eastAsia" w:ascii="仿宋_GB2312" w:hAnsi="仿宋_GB2312" w:eastAsia="仿宋_GB2312" w:cs="仿宋_GB2312"/>
          <w:b/>
          <w:sz w:val="32"/>
          <w:szCs w:val="32"/>
        </w:rPr>
        <w:t xml:space="preserve">第二节 </w:t>
      </w:r>
      <w:r>
        <w:rPr>
          <w:rFonts w:hint="eastAsia" w:ascii="仿宋_GB2312" w:hAnsi="仿宋_GB2312" w:eastAsia="仿宋_GB2312" w:cs="仿宋_GB2312"/>
          <w:b/>
          <w:sz w:val="32"/>
          <w:szCs w:val="32"/>
          <w:lang w:eastAsia="zh-CN"/>
        </w:rPr>
        <w:t>分级会商会议</w:t>
      </w:r>
      <w:r>
        <w:rPr>
          <w:rFonts w:hint="eastAsia" w:ascii="仿宋_GB2312" w:hAnsi="仿宋_GB2312" w:eastAsia="仿宋_GB2312" w:cs="仿宋_GB2312"/>
          <w:b/>
          <w:sz w:val="32"/>
          <w:szCs w:val="32"/>
        </w:rPr>
        <w:t>制度</w:t>
      </w:r>
      <w:bookmarkEnd w:id="9"/>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第三十二条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贯彻落实</w:t>
      </w:r>
      <w:r>
        <w:rPr>
          <w:rFonts w:hint="eastAsia" w:ascii="仿宋_GB2312" w:hAnsi="仿宋_GB2312" w:eastAsia="仿宋_GB2312" w:cs="仿宋_GB2312"/>
          <w:sz w:val="32"/>
          <w:szCs w:val="32"/>
          <w:lang w:eastAsia="zh-CN"/>
        </w:rPr>
        <w:t>国家和省委、省政府</w:t>
      </w:r>
      <w:r>
        <w:rPr>
          <w:rFonts w:hint="eastAsia" w:ascii="仿宋_GB2312" w:hAnsi="仿宋_GB2312" w:eastAsia="仿宋_GB2312" w:cs="仿宋_GB2312"/>
          <w:sz w:val="32"/>
          <w:szCs w:val="32"/>
          <w:lang w:val="en-US" w:eastAsia="zh-CN"/>
        </w:rPr>
        <w:t>行政审批制度改革</w:t>
      </w:r>
      <w:r>
        <w:rPr>
          <w:rFonts w:hint="eastAsia" w:ascii="仿宋_GB2312" w:hAnsi="仿宋_GB2312" w:eastAsia="仿宋_GB2312" w:cs="仿宋_GB2312"/>
          <w:sz w:val="32"/>
          <w:szCs w:val="32"/>
          <w:lang w:eastAsia="zh-CN"/>
        </w:rPr>
        <w:t>决策部署</w:t>
      </w:r>
      <w:r>
        <w:rPr>
          <w:rFonts w:hint="eastAsia" w:ascii="仿宋_GB2312" w:hAnsi="仿宋_GB2312" w:eastAsia="仿宋_GB2312" w:cs="仿宋_GB2312"/>
          <w:sz w:val="32"/>
          <w:szCs w:val="32"/>
          <w:lang w:val="en-US" w:eastAsia="zh-CN"/>
        </w:rPr>
        <w:t>，协调解决行政许可与监管联动的重点问题</w:t>
      </w:r>
      <w:r>
        <w:rPr>
          <w:rFonts w:hint="eastAsia" w:ascii="仿宋_GB2312" w:hAnsi="仿宋_GB2312" w:eastAsia="仿宋_GB2312" w:cs="仿宋_GB2312"/>
          <w:sz w:val="32"/>
          <w:szCs w:val="32"/>
          <w:lang w:eastAsia="zh-CN"/>
        </w:rPr>
        <w:t>以及行政</w:t>
      </w:r>
      <w:r>
        <w:rPr>
          <w:rFonts w:hint="eastAsia" w:ascii="仿宋_GB2312" w:hAnsi="仿宋_GB2312" w:eastAsia="仿宋_GB2312" w:cs="仿宋_GB2312"/>
          <w:sz w:val="32"/>
          <w:szCs w:val="32"/>
          <w:lang w:val="en-US" w:eastAsia="zh-CN"/>
        </w:rPr>
        <w:t>许可的难点问题</w:t>
      </w:r>
      <w:r>
        <w:rPr>
          <w:rFonts w:hint="eastAsia" w:ascii="仿宋_GB2312" w:hAnsi="仿宋_GB2312" w:eastAsia="仿宋_GB2312" w:cs="仿宋_GB2312"/>
          <w:sz w:val="32"/>
          <w:szCs w:val="32"/>
          <w:lang w:eastAsia="zh-CN"/>
        </w:rPr>
        <w:t>，建立分级会商</w:t>
      </w:r>
      <w:r>
        <w:rPr>
          <w:rFonts w:hint="eastAsia" w:ascii="仿宋_GB2312" w:hAnsi="仿宋_GB2312" w:eastAsia="仿宋_GB2312" w:cs="仿宋_GB2312"/>
          <w:sz w:val="32"/>
          <w:szCs w:val="32"/>
          <w:lang w:val="en-US" w:eastAsia="zh-CN"/>
        </w:rPr>
        <w:t>会议</w:t>
      </w:r>
      <w:r>
        <w:rPr>
          <w:rFonts w:hint="eastAsia" w:ascii="仿宋_GB2312" w:hAnsi="仿宋_GB2312" w:eastAsia="仿宋_GB2312" w:cs="仿宋_GB2312"/>
          <w:sz w:val="32"/>
          <w:szCs w:val="32"/>
          <w:lang w:eastAsia="zh-CN"/>
        </w:rPr>
        <w:t>制度，形成科学有效的长效决策机制。 </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第三十三条</w:t>
      </w:r>
      <w:r>
        <w:rPr>
          <w:rFonts w:hint="eastAsia" w:ascii="仿宋_GB2312" w:hAnsi="仿宋_GB2312" w:eastAsia="仿宋_GB2312" w:cs="仿宋_GB2312"/>
          <w:sz w:val="32"/>
          <w:szCs w:val="32"/>
          <w:lang w:val="en-US" w:eastAsia="zh-CN"/>
        </w:rPr>
        <w:t xml:space="preserve"> 行政许可工作</w:t>
      </w:r>
      <w:r>
        <w:rPr>
          <w:rFonts w:hint="eastAsia" w:ascii="仿宋_GB2312" w:hAnsi="仿宋_GB2312" w:eastAsia="仿宋_GB2312" w:cs="仿宋_GB2312"/>
          <w:sz w:val="32"/>
          <w:szCs w:val="32"/>
          <w:lang w:eastAsia="zh-CN"/>
        </w:rPr>
        <w:t>分级会商</w:t>
      </w:r>
      <w:r>
        <w:rPr>
          <w:rFonts w:hint="eastAsia" w:ascii="仿宋_GB2312" w:hAnsi="仿宋_GB2312" w:eastAsia="仿宋_GB2312" w:cs="仿宋_GB2312"/>
          <w:sz w:val="32"/>
          <w:szCs w:val="32"/>
          <w:lang w:val="en-US" w:eastAsia="zh-CN"/>
        </w:rPr>
        <w:t>会议原则上实行“一事一议”，根据涉及事项的风险和复杂程度，通过三种方式</w:t>
      </w:r>
      <w:r>
        <w:rPr>
          <w:rFonts w:hint="eastAsia" w:ascii="仿宋_GB2312" w:hAnsi="仿宋_GB2312" w:eastAsia="仿宋_GB2312" w:cs="仿宋_GB2312"/>
          <w:sz w:val="32"/>
          <w:szCs w:val="32"/>
          <w:lang w:eastAsia="zh-CN"/>
        </w:rPr>
        <w:t>的会议研究、论证，作出决定。</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（一）协调会：</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政策界定模糊、标准理解不一致但不涉及重大风险的日常问题，由行政许可处牵头组织，相关处室及直属单位负责人参加，形成明确办理意见；</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（二）专项论证会：对政策分歧较大、无先例可循、涉及复杂技术判断或可能引发监管争议的重点问题，由</w:t>
      </w:r>
      <w:r>
        <w:rPr>
          <w:rFonts w:hint="eastAsia" w:ascii="仿宋_GB2312" w:hAnsi="仿宋_GB2312" w:eastAsia="仿宋_GB2312" w:cs="仿宋_GB2312"/>
          <w:sz w:val="32"/>
          <w:szCs w:val="32"/>
          <w:lang w:eastAsia="zh-CN"/>
        </w:rPr>
        <w:t>业务监管</w:t>
      </w:r>
      <w:r>
        <w:rPr>
          <w:rFonts w:hint="eastAsia" w:ascii="仿宋_GB2312" w:hAnsi="仿宋_GB2312" w:eastAsia="仿宋_GB2312" w:cs="仿宋_GB2312"/>
          <w:sz w:val="32"/>
          <w:szCs w:val="32"/>
        </w:rPr>
        <w:t>处提请分管局领导主持召开，相关处室及直属单位</w:t>
      </w:r>
      <w:r>
        <w:rPr>
          <w:rFonts w:hint="eastAsia" w:ascii="仿宋_GB2312" w:hAnsi="仿宋_GB2312" w:eastAsia="仿宋_GB2312" w:cs="仿宋_GB2312"/>
          <w:sz w:val="32"/>
          <w:szCs w:val="32"/>
          <w:lang w:eastAsia="zh-CN"/>
        </w:rPr>
        <w:t>主要</w:t>
      </w:r>
      <w:r>
        <w:rPr>
          <w:rFonts w:hint="eastAsia" w:ascii="仿宋_GB2312" w:hAnsi="仿宋_GB2312" w:eastAsia="仿宋_GB2312" w:cs="仿宋_GB2312"/>
          <w:sz w:val="32"/>
          <w:szCs w:val="32"/>
        </w:rPr>
        <w:t>负责人参加，</w:t>
      </w:r>
      <w:r>
        <w:rPr>
          <w:rFonts w:hint="eastAsia" w:ascii="仿宋_GB2312" w:hAnsi="仿宋_GB2312" w:eastAsia="仿宋_GB2312" w:cs="仿宋_GB2312"/>
          <w:sz w:val="32"/>
          <w:szCs w:val="32"/>
          <w:lang w:eastAsia="zh-CN"/>
        </w:rPr>
        <w:t>必要时邀请</w:t>
      </w:r>
      <w:r>
        <w:rPr>
          <w:rFonts w:hint="eastAsia" w:ascii="仿宋_GB2312" w:hAnsi="仿宋_GB2312" w:eastAsia="仿宋_GB2312" w:cs="仿宋_GB2312"/>
          <w:sz w:val="32"/>
          <w:szCs w:val="32"/>
        </w:rPr>
        <w:t>行业专家、企业代表参与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形成</w:t>
      </w:r>
      <w:r>
        <w:rPr>
          <w:rFonts w:hint="eastAsia" w:ascii="仿宋_GB2312" w:hAnsi="仿宋_GB2312" w:eastAsia="仿宋_GB2312" w:cs="仿宋_GB2312"/>
          <w:sz w:val="32"/>
          <w:szCs w:val="32"/>
          <w:lang w:eastAsia="zh-CN"/>
        </w:rPr>
        <w:t>统一的专项论证会</w:t>
      </w:r>
      <w:r>
        <w:rPr>
          <w:rFonts w:hint="eastAsia" w:ascii="仿宋_GB2312" w:hAnsi="仿宋_GB2312" w:eastAsia="仿宋_GB2312" w:cs="仿宋_GB2312"/>
          <w:sz w:val="32"/>
          <w:szCs w:val="32"/>
        </w:rPr>
        <w:t>结论；</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（三）局长办公会/局务会：对涉及重大政策调整、公共安全利益、产业发展布局等</w:t>
      </w:r>
      <w:r>
        <w:rPr>
          <w:rFonts w:hint="eastAsia" w:ascii="仿宋_GB2312" w:hAnsi="仿宋_GB2312" w:eastAsia="仿宋_GB2312" w:cs="仿宋_GB2312"/>
          <w:sz w:val="32"/>
          <w:szCs w:val="32"/>
          <w:lang w:eastAsia="zh-CN"/>
        </w:rPr>
        <w:t>重大</w:t>
      </w:r>
      <w:r>
        <w:rPr>
          <w:rFonts w:hint="eastAsia" w:ascii="仿宋_GB2312" w:hAnsi="仿宋_GB2312" w:eastAsia="仿宋_GB2312" w:cs="仿宋_GB2312"/>
          <w:sz w:val="32"/>
          <w:szCs w:val="32"/>
        </w:rPr>
        <w:t>问题，由</w:t>
      </w:r>
      <w:r>
        <w:rPr>
          <w:rFonts w:hint="eastAsia" w:ascii="仿宋_GB2312" w:hAnsi="仿宋_GB2312" w:eastAsia="仿宋_GB2312" w:cs="仿宋_GB2312"/>
          <w:sz w:val="32"/>
          <w:szCs w:val="32"/>
          <w:lang w:eastAsia="zh-CN"/>
        </w:rPr>
        <w:t>业务监管</w:t>
      </w:r>
      <w:r>
        <w:rPr>
          <w:rFonts w:hint="eastAsia" w:ascii="仿宋_GB2312" w:hAnsi="仿宋_GB2312" w:eastAsia="仿宋_GB2312" w:cs="仿宋_GB2312"/>
          <w:sz w:val="32"/>
          <w:szCs w:val="32"/>
        </w:rPr>
        <w:t>处梳理形成专题报告，按程序提交局长办公会/局务会审议决策。</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上述会议中未尽事宜，经提请局领导同意后，提交相应层级会议研究决定。</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eastAsia="zh-CN"/>
        </w:rPr>
        <w:t>四</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分级</w:t>
      </w:r>
      <w:r>
        <w:rPr>
          <w:rFonts w:hint="eastAsia" w:ascii="仿宋_GB2312" w:hAnsi="仿宋_GB2312" w:eastAsia="仿宋_GB2312" w:cs="仿宋_GB2312"/>
          <w:sz w:val="32"/>
          <w:szCs w:val="32"/>
        </w:rPr>
        <w:t>会商会议实行“谁牵头、谁记录、谁跟踪”责任制</w:t>
      </w:r>
      <w:r>
        <w:rPr>
          <w:rFonts w:hint="eastAsia" w:ascii="仿宋_GB2312" w:hAnsi="仿宋_GB2312" w:eastAsia="仿宋_GB2312" w:cs="仿宋_GB2312"/>
          <w:sz w:val="32"/>
          <w:szCs w:val="32"/>
          <w:lang w:eastAsia="zh-CN"/>
        </w:rPr>
        <w:t>，由发起处室</w:t>
      </w:r>
      <w:r>
        <w:rPr>
          <w:rFonts w:hint="eastAsia" w:ascii="仿宋_GB2312" w:hAnsi="仿宋_GB2312" w:eastAsia="仿宋_GB2312" w:cs="仿宋_GB2312"/>
          <w:sz w:val="32"/>
          <w:szCs w:val="32"/>
        </w:rPr>
        <w:t>负责</w:t>
      </w:r>
      <w:r>
        <w:rPr>
          <w:rFonts w:hint="eastAsia" w:ascii="仿宋_GB2312" w:hAnsi="仿宋_GB2312" w:eastAsia="仿宋_GB2312" w:cs="仿宋_GB2312"/>
          <w:sz w:val="32"/>
          <w:szCs w:val="32"/>
          <w:lang w:eastAsia="zh-CN"/>
        </w:rPr>
        <w:t>会议</w:t>
      </w:r>
      <w:r>
        <w:rPr>
          <w:rFonts w:hint="eastAsia" w:ascii="仿宋_GB2312" w:hAnsi="仿宋_GB2312" w:eastAsia="仿宋_GB2312" w:cs="仿宋_GB2312"/>
          <w:sz w:val="32"/>
          <w:szCs w:val="32"/>
        </w:rPr>
        <w:t>记录，填写《协调会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专项论证会记录表》</w:t>
      </w:r>
      <w:r>
        <w:rPr>
          <w:rFonts w:hint="eastAsia" w:ascii="仿宋_GB2312" w:hAnsi="仿宋_GB2312" w:eastAsia="仿宋_GB2312" w:cs="仿宋_GB2312"/>
          <w:sz w:val="32"/>
          <w:szCs w:val="32"/>
          <w:lang w:eastAsia="zh-CN"/>
        </w:rPr>
        <w:t>（见附件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相关单位按记录要求执行，发起处会同行政许可处跟踪执行情况；局长办公会/局务会审议事项按会议纪要执行，由</w:t>
      </w:r>
      <w:r>
        <w:rPr>
          <w:rFonts w:hint="eastAsia" w:ascii="仿宋_GB2312" w:hAnsi="仿宋_GB2312" w:eastAsia="仿宋_GB2312" w:cs="仿宋_GB2312"/>
          <w:sz w:val="32"/>
          <w:szCs w:val="32"/>
          <w:lang w:eastAsia="zh-CN"/>
        </w:rPr>
        <w:t>局综合和规划财务处</w:t>
      </w:r>
      <w:r>
        <w:rPr>
          <w:rFonts w:hint="eastAsia" w:ascii="仿宋_GB2312" w:hAnsi="仿宋_GB2312" w:eastAsia="仿宋_GB2312" w:cs="仿宋_GB2312"/>
          <w:sz w:val="32"/>
          <w:szCs w:val="32"/>
        </w:rPr>
        <w:t>负责督办。</w:t>
      </w:r>
    </w:p>
    <w:p>
      <w:pPr>
        <w:keepNext/>
        <w:keepLines w:val="0"/>
        <w:pageBreakBefore w:val="0"/>
        <w:widowControl w:val="0"/>
        <w:shd w:val="clear" w:color="auto" w:fill="FFFFFF"/>
        <w:kinsoku/>
        <w:wordWrap/>
        <w:overflowPunct/>
        <w:topLinePunct w:val="0"/>
        <w:autoSpaceDE/>
        <w:autoSpaceDN/>
        <w:bidi w:val="0"/>
        <w:adjustRightInd/>
        <w:snapToGrid/>
        <w:spacing w:beforeAutospacing="0" w:afterAutospacing="0" w:line="640" w:lineRule="exact"/>
        <w:ind w:left="0" w:leftChars="0" w:right="0" w:firstLine="64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eastAsia="zh-CN"/>
        </w:rPr>
        <w:t>第三十五条</w:t>
      </w:r>
      <w:r>
        <w:rPr>
          <w:rFonts w:hint="eastAsia" w:ascii="仿宋_GB2312" w:hAnsi="仿宋_GB2312" w:eastAsia="仿宋_GB2312" w:cs="仿宋_GB2312"/>
          <w:sz w:val="32"/>
          <w:szCs w:val="32"/>
          <w:lang w:val="en-US" w:eastAsia="zh-CN"/>
        </w:rPr>
        <w:t xml:space="preserve"> 会议决定的行政许可事项，除明确要求“一事一议”的，原则上可</w:t>
      </w:r>
      <w:r>
        <w:rPr>
          <w:rFonts w:hint="eastAsia" w:ascii="仿宋_GB2312" w:hAnsi="仿宋_GB2312" w:eastAsia="仿宋_GB2312" w:cs="仿宋_GB2312"/>
          <w:sz w:val="32"/>
          <w:szCs w:val="32"/>
          <w:lang w:eastAsia="zh-CN"/>
        </w:rPr>
        <w:t>在年内相关规定未发生变化的情况下</w:t>
      </w:r>
      <w:r>
        <w:rPr>
          <w:rFonts w:hint="eastAsia" w:ascii="仿宋_GB2312" w:hAnsi="仿宋_GB2312" w:eastAsia="仿宋_GB2312" w:cs="仿宋_GB2312"/>
          <w:sz w:val="32"/>
          <w:szCs w:val="32"/>
          <w:lang w:val="en-US" w:eastAsia="zh-CN"/>
        </w:rPr>
        <w:t>作为案例比照执行。</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center"/>
        <w:textAlignment w:val="auto"/>
        <w:outlineLvl w:val="1"/>
        <w:rPr>
          <w:rFonts w:hint="eastAsia" w:ascii="仿宋_GB2312" w:hAnsi="仿宋_GB2312" w:eastAsia="仿宋_GB2312" w:cs="仿宋_GB2312"/>
          <w:sz w:val="32"/>
          <w:szCs w:val="32"/>
        </w:rPr>
      </w:pPr>
      <w:bookmarkStart w:id="10" w:name="heading_10"/>
      <w:r>
        <w:rPr>
          <w:rFonts w:hint="eastAsia" w:ascii="仿宋_GB2312" w:hAnsi="仿宋_GB2312" w:eastAsia="仿宋_GB2312" w:cs="仿宋_GB2312"/>
          <w:b/>
          <w:sz w:val="32"/>
          <w:szCs w:val="32"/>
        </w:rPr>
        <w:t>第三节 风险与缺陷处理</w:t>
      </w:r>
      <w:bookmarkEnd w:id="10"/>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eastAsia="zh-CN"/>
        </w:rPr>
        <w:t>六</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现场检查中发现重大风险的，检查组立即固定相关证据并同步报告</w:t>
      </w:r>
      <w:r>
        <w:rPr>
          <w:rFonts w:hint="eastAsia" w:ascii="仿宋_GB2312" w:hAnsi="仿宋_GB2312" w:eastAsia="仿宋_GB2312" w:cs="仿宋_GB2312"/>
          <w:sz w:val="32"/>
          <w:szCs w:val="32"/>
          <w:lang w:eastAsia="zh-CN"/>
        </w:rPr>
        <w:t>省药监局</w:t>
      </w:r>
      <w:r>
        <w:rPr>
          <w:rFonts w:hint="eastAsia" w:ascii="仿宋_GB2312" w:hAnsi="仿宋_GB2312" w:eastAsia="仿宋_GB2312" w:cs="仿宋_GB2312"/>
          <w:sz w:val="32"/>
          <w:szCs w:val="32"/>
        </w:rPr>
        <w:t>审核查验中心和辖区执法检查局；</w:t>
      </w:r>
      <w:r>
        <w:rPr>
          <w:rFonts w:hint="eastAsia" w:ascii="仿宋_GB2312" w:hAnsi="仿宋_GB2312" w:eastAsia="仿宋_GB2312" w:cs="仿宋_GB2312"/>
          <w:sz w:val="32"/>
          <w:szCs w:val="32"/>
          <w:lang w:eastAsia="zh-CN"/>
        </w:rPr>
        <w:t>省药监局</w:t>
      </w:r>
      <w:r>
        <w:rPr>
          <w:rFonts w:hint="eastAsia" w:ascii="仿宋_GB2312" w:hAnsi="仿宋_GB2312" w:eastAsia="仿宋_GB2312" w:cs="仿宋_GB2312"/>
          <w:sz w:val="32"/>
          <w:szCs w:val="32"/>
        </w:rPr>
        <w:t>审核查验中心在3个工作日内完成风险评估并制定针对性控制措施，及时报告行政许可处和业务监管处。</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第三十</w:t>
      </w:r>
      <w:r>
        <w:rPr>
          <w:rFonts w:hint="eastAsia" w:ascii="仿宋_GB2312" w:hAnsi="仿宋_GB2312" w:eastAsia="仿宋_GB2312" w:cs="仿宋_GB2312"/>
          <w:b/>
          <w:sz w:val="32"/>
          <w:szCs w:val="32"/>
          <w:lang w:eastAsia="zh-CN"/>
        </w:rPr>
        <w:t>七</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检查中发现企业存在缺陷的，企业应按要求提交整改报告，</w:t>
      </w:r>
      <w:r>
        <w:rPr>
          <w:rFonts w:hint="eastAsia" w:ascii="仿宋_GB2312" w:hAnsi="仿宋_GB2312" w:eastAsia="仿宋_GB2312" w:cs="仿宋_GB2312"/>
          <w:sz w:val="32"/>
          <w:szCs w:val="32"/>
          <w:lang w:eastAsia="zh-CN"/>
        </w:rPr>
        <w:t>省药监局</w:t>
      </w:r>
      <w:r>
        <w:rPr>
          <w:rFonts w:hint="eastAsia" w:ascii="仿宋_GB2312" w:hAnsi="仿宋_GB2312" w:eastAsia="仿宋_GB2312" w:cs="仿宋_GB2312"/>
          <w:sz w:val="32"/>
          <w:szCs w:val="32"/>
        </w:rPr>
        <w:t>审核查验中心负责审核整改报告，必要时组织现场复核，确保整改措施有效落实、形成闭环管理。</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center"/>
        <w:textAlignment w:val="auto"/>
        <w:outlineLvl w:val="0"/>
        <w:rPr>
          <w:rFonts w:hint="eastAsia" w:ascii="黑体" w:hAnsi="黑体" w:eastAsia="黑体" w:cs="黑体"/>
          <w:b w:val="0"/>
          <w:bCs/>
          <w:sz w:val="32"/>
          <w:szCs w:val="32"/>
        </w:rPr>
      </w:pPr>
      <w:bookmarkStart w:id="11" w:name="heading_11"/>
      <w:r>
        <w:rPr>
          <w:rFonts w:hint="eastAsia" w:ascii="黑体" w:hAnsi="黑体" w:eastAsia="黑体" w:cs="黑体"/>
          <w:b w:val="0"/>
          <w:bCs/>
          <w:sz w:val="32"/>
          <w:szCs w:val="32"/>
        </w:rPr>
        <w:t>第五章 监督检查</w:t>
      </w:r>
      <w:bookmarkEnd w:id="11"/>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三十八</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省药监局定期或不定期对行政许可工作开展监督检查，原则上每年组织1次，由政策法规处牵头实施，重点检查受理、审评、审批、制证等关键环节，检查情况及时通报相关单位；同时对备案</w:t>
      </w:r>
      <w:r>
        <w:rPr>
          <w:rFonts w:hint="eastAsia" w:ascii="仿宋_GB2312" w:hAnsi="仿宋_GB2312" w:eastAsia="仿宋_GB2312" w:cs="仿宋_GB2312"/>
          <w:sz w:val="32"/>
          <w:szCs w:val="32"/>
          <w:lang w:eastAsia="zh-CN"/>
        </w:rPr>
        <w:t>后核查</w:t>
      </w:r>
      <w:r>
        <w:rPr>
          <w:rFonts w:hint="eastAsia" w:ascii="仿宋_GB2312" w:hAnsi="仿宋_GB2312" w:eastAsia="仿宋_GB2312" w:cs="仿宋_GB2312"/>
          <w:sz w:val="32"/>
          <w:szCs w:val="32"/>
        </w:rPr>
        <w:t>工作开展情况进行同步检查。</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三十九</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监督检查可采取下列方式：</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（一）全面检查或重点抽查许可法律法规贯彻落实情况；</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（二）查阅许可实施卷宗及相关文件资料；</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（三）调查核实许可实施的具体情况；</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（四）现场监督</w:t>
      </w:r>
      <w:r>
        <w:rPr>
          <w:rFonts w:hint="eastAsia" w:ascii="仿宋_GB2312" w:hAnsi="仿宋_GB2312" w:eastAsia="仿宋_GB2312" w:cs="仿宋_GB2312"/>
          <w:sz w:val="32"/>
          <w:szCs w:val="32"/>
          <w:lang w:eastAsia="zh-CN"/>
        </w:rPr>
        <w:t>行政</w:t>
      </w:r>
      <w:r>
        <w:rPr>
          <w:rFonts w:hint="eastAsia" w:ascii="仿宋_GB2312" w:hAnsi="仿宋_GB2312" w:eastAsia="仿宋_GB2312" w:cs="仿宋_GB2312"/>
          <w:sz w:val="32"/>
          <w:szCs w:val="32"/>
        </w:rPr>
        <w:t>许可</w:t>
      </w:r>
      <w:r>
        <w:rPr>
          <w:rFonts w:hint="eastAsia" w:ascii="仿宋_GB2312" w:hAnsi="仿宋_GB2312" w:eastAsia="仿宋_GB2312" w:cs="仿宋_GB2312"/>
          <w:sz w:val="32"/>
          <w:szCs w:val="32"/>
          <w:lang w:eastAsia="zh-CN"/>
        </w:rPr>
        <w:t>、备案后核查</w:t>
      </w:r>
      <w:r>
        <w:rPr>
          <w:rFonts w:hint="eastAsia" w:ascii="仿宋_GB2312" w:hAnsi="仿宋_GB2312" w:eastAsia="仿宋_GB2312" w:cs="仿宋_GB2312"/>
          <w:sz w:val="32"/>
          <w:szCs w:val="32"/>
        </w:rPr>
        <w:t>活动</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开展过程；</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（五）征求申请人及有关单位的意见建议；</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（六）其他法定监督检查方式；</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（七）公开许可及备案的流程、时限、结果等信息，设立投诉举报渠道，全面实施“好差评”制度，接受社会监督。</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四十</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省药监局各处及直属单位发现行政许可工作存在不规范问题的，应及时向行政许可处反馈并督促纠正；涉嫌违规违纪的，移交纪检部门调查处理。对备案</w:t>
      </w:r>
      <w:r>
        <w:rPr>
          <w:rFonts w:hint="eastAsia" w:ascii="仿宋_GB2312" w:hAnsi="仿宋_GB2312" w:eastAsia="仿宋_GB2312" w:cs="仿宋_GB2312"/>
          <w:sz w:val="32"/>
          <w:szCs w:val="32"/>
          <w:lang w:eastAsia="zh-CN"/>
        </w:rPr>
        <w:t>后核查</w:t>
      </w:r>
      <w:r>
        <w:rPr>
          <w:rFonts w:hint="eastAsia" w:ascii="仿宋_GB2312" w:hAnsi="仿宋_GB2312" w:eastAsia="仿宋_GB2312" w:cs="仿宋_GB2312"/>
          <w:sz w:val="32"/>
          <w:szCs w:val="32"/>
        </w:rPr>
        <w:t>工作不规范的，参照本条规定处理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对在行政许可和备案工作中玩忽职守、滥用职权的，依法依规追究责任，并建立廉政档案，与评优评先挂钩。</w:t>
      </w:r>
    </w:p>
    <w:p>
      <w:pPr>
        <w:keepNext/>
        <w:keepLines w:val="0"/>
        <w:pageBreakBefore w:val="0"/>
        <w:widowControl w:val="0"/>
        <w:kinsoku/>
        <w:wordWrap/>
        <w:overflowPunct/>
        <w:topLinePunct w:val="0"/>
        <w:autoSpaceDE/>
        <w:autoSpaceDN/>
        <w:bidi w:val="0"/>
        <w:adjustRightInd/>
        <w:snapToGrid/>
        <w:spacing w:line="640" w:lineRule="exact"/>
        <w:ind w:left="0" w:leftChars="0" w:right="0" w:firstLine="0" w:firstLineChars="0"/>
        <w:jc w:val="center"/>
        <w:textAlignment w:val="auto"/>
        <w:outlineLvl w:val="0"/>
        <w:rPr>
          <w:rFonts w:hint="eastAsia" w:ascii="仿宋_GB2312" w:hAnsi="仿宋_GB2312" w:eastAsia="仿宋_GB2312" w:cs="仿宋_GB2312"/>
          <w:sz w:val="32"/>
          <w:szCs w:val="32"/>
        </w:rPr>
      </w:pPr>
      <w:bookmarkStart w:id="12" w:name="heading_12"/>
      <w:r>
        <w:rPr>
          <w:rFonts w:hint="eastAsia" w:ascii="仿宋_GB2312" w:hAnsi="仿宋_GB2312" w:eastAsia="仿宋_GB2312" w:cs="仿宋_GB2312"/>
          <w:b/>
          <w:sz w:val="32"/>
          <w:szCs w:val="32"/>
        </w:rPr>
        <w:t>第六章 附则</w:t>
      </w:r>
      <w:bookmarkEnd w:id="12"/>
    </w:p>
    <w:p>
      <w:pPr>
        <w:keepNext/>
        <w:keepLines w:val="0"/>
        <w:pageBreakBefore w:val="0"/>
        <w:widowControl w:val="0"/>
        <w:kinsoku/>
        <w:wordWrap/>
        <w:overflowPunct/>
        <w:topLinePunct w:val="0"/>
        <w:autoSpaceDE/>
        <w:autoSpaceDN/>
        <w:bidi w:val="0"/>
        <w:adjustRightInd/>
        <w:snapToGrid/>
        <w:spacing w:line="640" w:lineRule="exact"/>
        <w:ind w:left="0" w:leftChars="0" w:right="0" w:firstLine="642"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第</w:t>
      </w:r>
      <w:r>
        <w:rPr>
          <w:rFonts w:hint="eastAsia" w:ascii="仿宋_GB2312" w:hAnsi="仿宋_GB2312" w:eastAsia="仿宋_GB2312" w:cs="仿宋_GB2312"/>
          <w:b/>
          <w:sz w:val="32"/>
          <w:szCs w:val="32"/>
          <w:lang w:eastAsia="zh-CN"/>
        </w:rPr>
        <w:t>四十一</w:t>
      </w:r>
      <w:r>
        <w:rPr>
          <w:rFonts w:hint="eastAsia" w:ascii="仿宋_GB2312" w:hAnsi="仿宋_GB2312" w:eastAsia="仿宋_GB2312" w:cs="仿宋_GB2312"/>
          <w:b/>
          <w:sz w:val="32"/>
          <w:szCs w:val="32"/>
        </w:rPr>
        <w:t>条</w:t>
      </w:r>
      <w:r>
        <w:rPr>
          <w:rFonts w:hint="eastAsia" w:ascii="仿宋_GB2312" w:hAnsi="仿宋_GB2312" w:eastAsia="仿宋_GB2312" w:cs="仿宋_GB2312"/>
          <w:sz w:val="32"/>
          <w:szCs w:val="32"/>
        </w:rPr>
        <w:t xml:space="preserve"> 本办法自发布之日起施行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原《甘肃省药品监督管理局行政许可管理办法（试行）》</w:t>
      </w:r>
      <w:r>
        <w:rPr>
          <w:rFonts w:hint="eastAsia" w:ascii="仿宋_GB2312" w:hAnsi="仿宋_GB2312" w:eastAsia="仿宋_GB2312" w:cs="仿宋_GB2312"/>
          <w:sz w:val="32"/>
          <w:szCs w:val="32"/>
          <w:lang w:eastAsia="zh-CN"/>
        </w:rPr>
        <w:t>（甘药监发[</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126号</w:t>
      </w:r>
      <w:r>
        <w:rPr>
          <w:rFonts w:hint="eastAsia" w:ascii="仿宋_GB2312" w:hAnsi="仿宋_GB2312" w:eastAsia="仿宋_GB2312" w:cs="仿宋_GB2312"/>
          <w:sz w:val="32"/>
          <w:szCs w:val="32"/>
          <w:lang w:eastAsia="zh-CN"/>
        </w:rPr>
        <w:t>）和《甘肃省药品监督管理局行政许可与监督管理衔接工作规则（试行）》（甘药监发[</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80号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同时废止。</w:t>
      </w:r>
    </w:p>
    <w:p>
      <w:pPr>
        <w:keepNext/>
        <w:widowControl w:val="0"/>
        <w:wordWrap/>
        <w:adjustRightInd/>
        <w:snapToGrid/>
        <w:spacing w:line="360" w:lineRule="auto"/>
        <w:ind w:left="0" w:leftChars="0" w:right="0" w:firstLine="640" w:firstLineChars="200"/>
        <w:jc w:val="left"/>
        <w:textAlignment w:val="auto"/>
        <w:rPr>
          <w:rFonts w:hint="eastAsia" w:ascii="仿宋_GB2312" w:hAnsi="仿宋_GB2312" w:eastAsia="仿宋_GB2312" w:cs="仿宋_GB2312"/>
          <w:sz w:val="32"/>
          <w:szCs w:val="32"/>
        </w:rPr>
      </w:pPr>
    </w:p>
    <w:p>
      <w:pPr>
        <w:keepNext/>
        <w:widowControl w:val="0"/>
        <w:wordWrap/>
        <w:adjustRightInd/>
        <w:snapToGrid/>
        <w:spacing w:line="580" w:lineRule="exact"/>
        <w:ind w:left="0" w:leftChars="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p>
    <w:p>
      <w:pPr>
        <w:keepNext/>
        <w:widowControl w:val="0"/>
        <w:wordWrap/>
        <w:adjustRightInd/>
        <w:snapToGrid/>
        <w:spacing w:line="580" w:lineRule="exact"/>
        <w:ind w:left="0" w:leftChars="0" w:right="0" w:firstLine="960" w:firstLineChars="3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甘肃省药品监督管理局行政许可相关岗位操作规范</w:t>
      </w:r>
    </w:p>
    <w:p>
      <w:pPr>
        <w:keepNext/>
        <w:widowControl w:val="0"/>
        <w:wordWrap/>
        <w:adjustRightInd/>
        <w:snapToGrid/>
        <w:spacing w:line="580" w:lineRule="exact"/>
        <w:ind w:right="0" w:firstLine="960" w:firstLineChars="3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甘肃省药品监督管理局行政许可廉政风险防控规定</w:t>
      </w:r>
    </w:p>
    <w:p>
      <w:pPr>
        <w:keepNext/>
        <w:widowControl w:val="0"/>
        <w:wordWrap/>
        <w:adjustRightInd/>
        <w:snapToGrid/>
        <w:spacing w:line="580" w:lineRule="exact"/>
        <w:ind w:right="0" w:firstLine="960" w:firstLineChars="3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《协调会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专项论证会记录表》</w:t>
      </w:r>
    </w:p>
    <w:p>
      <w:pPr>
        <w:keepNext/>
        <w:widowControl w:val="0"/>
        <w:wordWrap/>
        <w:adjustRightInd/>
        <w:snapToGrid/>
        <w:spacing w:line="580" w:lineRule="exact"/>
        <w:ind w:left="0" w:leftChars="0" w:right="0" w:firstLine="640" w:firstLineChars="200"/>
        <w:jc w:val="left"/>
        <w:textAlignment w:val="auto"/>
        <w:rPr>
          <w:rFonts w:hint="eastAsia" w:ascii="Arial" w:hAnsi="Arial" w:eastAsia="等线" w:cs="Arial"/>
          <w:sz w:val="32"/>
          <w:szCs w:val="32"/>
          <w:lang w:eastAsia="zh-CN"/>
        </w:rPr>
      </w:pPr>
    </w:p>
    <w:p>
      <w:pPr>
        <w:keepNext/>
        <w:widowControl w:val="0"/>
        <w:wordWrap/>
        <w:adjustRightInd/>
        <w:snapToGrid/>
        <w:spacing w:line="580" w:lineRule="exact"/>
        <w:ind w:left="0" w:leftChars="0" w:right="0" w:firstLine="640" w:firstLineChars="200"/>
        <w:jc w:val="left"/>
        <w:textAlignment w:val="auto"/>
        <w:rPr>
          <w:rFonts w:hint="eastAsia" w:ascii="Arial" w:hAnsi="Arial" w:eastAsia="等线" w:cs="Arial"/>
          <w:sz w:val="32"/>
          <w:szCs w:val="32"/>
          <w:lang w:eastAsia="zh-CN"/>
        </w:rPr>
      </w:pPr>
    </w:p>
    <w:p>
      <w:pPr>
        <w:widowControl/>
        <w:wordWrap/>
        <w:adjustRightInd/>
        <w:snapToGrid/>
        <w:spacing w:line="580" w:lineRule="exact"/>
        <w:ind w:left="0" w:leftChars="0" w:right="0" w:firstLine="640" w:firstLineChars="200"/>
        <w:jc w:val="left"/>
        <w:textAlignment w:val="auto"/>
        <w:rPr>
          <w:rFonts w:hint="eastAsia" w:ascii="Arial" w:hAnsi="Arial" w:eastAsia="等线" w:cs="Arial"/>
          <w:sz w:val="32"/>
          <w:szCs w:val="32"/>
          <w:lang w:eastAsia="zh-CN"/>
        </w:rPr>
      </w:pPr>
    </w:p>
    <w:p>
      <w:pPr>
        <w:widowControl/>
        <w:wordWrap/>
        <w:adjustRightInd/>
        <w:snapToGrid/>
        <w:spacing w:line="580" w:lineRule="exact"/>
        <w:ind w:left="0" w:leftChars="0" w:right="0" w:firstLine="640" w:firstLineChars="200"/>
        <w:jc w:val="left"/>
        <w:textAlignment w:val="auto"/>
        <w:rPr>
          <w:rFonts w:hint="eastAsia" w:ascii="Arial" w:hAnsi="Arial" w:eastAsia="等线" w:cs="Arial"/>
          <w:sz w:val="32"/>
          <w:szCs w:val="32"/>
          <w:lang w:eastAsia="zh-CN"/>
        </w:rPr>
      </w:pPr>
    </w:p>
    <w:p>
      <w:pPr>
        <w:widowControl/>
        <w:wordWrap/>
        <w:adjustRightInd/>
        <w:snapToGrid/>
        <w:spacing w:line="580" w:lineRule="exact"/>
        <w:ind w:left="0" w:leftChars="0" w:right="0" w:firstLine="640" w:firstLineChars="200"/>
        <w:jc w:val="left"/>
        <w:textAlignment w:val="auto"/>
        <w:rPr>
          <w:rFonts w:hint="eastAsia" w:ascii="Arial" w:hAnsi="Arial" w:eastAsia="等线" w:cs="Arial"/>
          <w:sz w:val="32"/>
          <w:szCs w:val="32"/>
          <w:lang w:eastAsia="zh-CN"/>
        </w:rPr>
      </w:pPr>
    </w:p>
    <w:p>
      <w:pPr>
        <w:widowControl/>
        <w:wordWrap/>
        <w:adjustRightInd/>
        <w:snapToGrid/>
        <w:spacing w:line="580" w:lineRule="exact"/>
        <w:ind w:left="0" w:leftChars="0" w:right="0" w:firstLine="640" w:firstLineChars="200"/>
        <w:jc w:val="left"/>
        <w:textAlignment w:val="auto"/>
        <w:rPr>
          <w:rFonts w:hint="eastAsia" w:ascii="Arial" w:hAnsi="Arial" w:eastAsia="等线" w:cs="Arial"/>
          <w:sz w:val="32"/>
          <w:szCs w:val="32"/>
          <w:lang w:eastAsia="zh-CN"/>
        </w:rPr>
      </w:pPr>
    </w:p>
    <w:p>
      <w:pPr>
        <w:widowControl/>
        <w:wordWrap/>
        <w:adjustRightInd/>
        <w:snapToGrid/>
        <w:spacing w:line="580" w:lineRule="exact"/>
        <w:ind w:left="0" w:leftChars="0" w:right="0" w:firstLine="640" w:firstLineChars="200"/>
        <w:jc w:val="left"/>
        <w:textAlignment w:val="auto"/>
        <w:rPr>
          <w:rFonts w:hint="eastAsia" w:ascii="Arial" w:hAnsi="Arial" w:eastAsia="等线" w:cs="Arial"/>
          <w:sz w:val="32"/>
          <w:szCs w:val="32"/>
          <w:lang w:eastAsia="zh-CN"/>
        </w:rPr>
      </w:pPr>
    </w:p>
    <w:p>
      <w:pPr>
        <w:widowControl/>
        <w:wordWrap/>
        <w:adjustRightInd/>
        <w:snapToGrid/>
        <w:spacing w:line="580" w:lineRule="exact"/>
        <w:ind w:left="0" w:leftChars="0" w:right="0" w:firstLine="640" w:firstLineChars="200"/>
        <w:jc w:val="left"/>
        <w:textAlignment w:val="auto"/>
        <w:rPr>
          <w:rFonts w:hint="eastAsia" w:ascii="Arial" w:hAnsi="Arial" w:eastAsia="等线" w:cs="Arial"/>
          <w:sz w:val="32"/>
          <w:szCs w:val="32"/>
          <w:lang w:eastAsia="zh-CN"/>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p>
    <w:p>
      <w:pPr>
        <w:widowControl w:val="0"/>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700" w:lineRule="exact"/>
        <w:ind w:left="0" w:leftChars="0" w:right="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甘肃省药品监督管理局</w:t>
      </w:r>
    </w:p>
    <w:p>
      <w:pPr>
        <w:keepNext w:val="0"/>
        <w:keepLines w:val="0"/>
        <w:pageBreakBefore w:val="0"/>
        <w:widowControl w:val="0"/>
        <w:kinsoku/>
        <w:wordWrap/>
        <w:overflowPunct/>
        <w:topLinePunct w:val="0"/>
        <w:autoSpaceDE/>
        <w:autoSpaceDN/>
        <w:bidi w:val="0"/>
        <w:adjustRightInd/>
        <w:snapToGrid/>
        <w:spacing w:line="700" w:lineRule="exact"/>
        <w:ind w:left="0" w:leftChars="0" w:right="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行政许可相关岗位操作规范</w:t>
      </w:r>
    </w:p>
    <w:p>
      <w:pPr>
        <w:widowControl w:val="0"/>
        <w:wordWrap/>
        <w:adjustRightInd/>
        <w:snapToGrid/>
        <w:spacing w:line="560" w:lineRule="exact"/>
        <w:ind w:left="0" w:leftChars="0" w:right="0" w:firstLine="0" w:firstLineChars="0"/>
        <w:jc w:val="center"/>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仿宋" w:hAnsi="仿宋" w:eastAsia="仿宋" w:cs="仿宋"/>
          <w:sz w:val="32"/>
          <w:szCs w:val="32"/>
          <w:lang w:val="en-US" w:eastAsia="zh-CN"/>
        </w:rPr>
        <w:t xml:space="preserve"> </w:t>
      </w:r>
      <w:r>
        <w:rPr>
          <w:rFonts w:hint="eastAsia" w:ascii="黑体" w:hAnsi="黑体" w:eastAsia="黑体" w:cs="黑体"/>
          <w:sz w:val="32"/>
          <w:szCs w:val="32"/>
          <w:lang w:val="en-US" w:eastAsia="zh-CN"/>
        </w:rPr>
        <w:t>一、适用范围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rPr>
        <w:t>本规范</w:t>
      </w:r>
      <w:r>
        <w:rPr>
          <w:rFonts w:hint="eastAsia" w:ascii="仿宋" w:hAnsi="仿宋" w:eastAsia="仿宋" w:cs="仿宋"/>
          <w:sz w:val="32"/>
          <w:szCs w:val="32"/>
          <w:lang w:val="en-US" w:eastAsia="zh-CN"/>
        </w:rPr>
        <w:t>适用于省药监局从事行政许可事项（含行政备案、确认事项）各岗位及人员工作职责。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二、岗位设置与职责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行政许可设受理岗、审评检查岗、实质性审查岗、行政审核岗、制证送达岗，实行AB岗工作模式。省药监局审核查验中心依职责承担技术审评、现场检查等职责。局领导依职责承担审批岗责任。各岗位按工作流程协作完成行政许可事项办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（一）受理岗位（省政府政务大厅药品监管分中心人员）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1. 接收申请材料，依法核对材料清单，进行形式审查，判定是否符合法定形式要求。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对材料齐全且符合要求的，出具《受理通知书》或予以备案；材料不齐全或不符合法定形式的，一次性告知补正内容，出具《补正材料通知书》，并要求申请人在合理期限内完成补正；材料补正后仍不符合要求的，或不属于省药监局职责范围的，详细说明理由和救济途径并经政务大厅首席代表同意后出具《不予受理通知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3.将受理信息录入甘肃省药品智慧监管平台审批模块（以下简称“监管平台”），及时提交后续岗位。</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受理时限为当场或5个工作日内完成形式审查。办理过程中，应始终保持礼貌、专业，耐心提供咨询答疑服务，并妥善保管申请材料，防止遗失或泄露。对属于即办件的申请，由政务大厅首席代表进行合法性审核，并于当日办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firstLine="640" w:firstLineChars="200"/>
        <w:jc w:val="both"/>
        <w:textAlignment w:val="auto"/>
        <w:outlineLvl w:val="9"/>
        <w:rPr>
          <w:rFonts w:hint="eastAsia" w:ascii="楷体_GB2312" w:hAnsi="楷体_GB2312" w:eastAsia="楷体_GB2312" w:cs="楷体_GB2312"/>
          <w:color w:val="auto"/>
          <w:sz w:val="32"/>
          <w:szCs w:val="32"/>
          <w:lang w:val="en-US" w:eastAsia="zh-CN"/>
        </w:rPr>
      </w:pPr>
      <w:r>
        <w:rPr>
          <w:rFonts w:hint="eastAsia" w:ascii="仿宋" w:hAnsi="仿宋" w:eastAsia="仿宋" w:cs="仿宋"/>
          <w:color w:val="auto"/>
          <w:sz w:val="32"/>
          <w:szCs w:val="32"/>
          <w:lang w:val="en-US" w:eastAsia="zh-CN"/>
        </w:rPr>
        <w:t>（</w:t>
      </w:r>
      <w:r>
        <w:rPr>
          <w:rFonts w:hint="eastAsia" w:ascii="楷体_GB2312" w:hAnsi="楷体_GB2312" w:eastAsia="楷体_GB2312" w:cs="楷体_GB2312"/>
          <w:color w:val="auto"/>
          <w:sz w:val="32"/>
          <w:szCs w:val="32"/>
          <w:lang w:val="en-US" w:eastAsia="zh-CN"/>
        </w:rPr>
        <w:t>二）审评检查岗位（省药监局审核查验中心人员）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1.技术审评。</w:t>
      </w:r>
      <w:r>
        <w:rPr>
          <w:rFonts w:hint="default" w:ascii="仿宋" w:hAnsi="仿宋" w:eastAsia="仿宋" w:cs="仿宋"/>
          <w:sz w:val="32"/>
          <w:szCs w:val="32"/>
          <w:lang w:val="en-US" w:eastAsia="zh-CN"/>
        </w:rPr>
        <w:t>技术审评工作应遵循科学合理原则，所提意见须以充分的科学依据和现行行业标准为基础，准确指出申报资料中存在的缺陷与不足。审评范围须全面覆盖</w:t>
      </w:r>
      <w:r>
        <w:rPr>
          <w:rFonts w:hint="eastAsia" w:ascii="仿宋" w:hAnsi="仿宋" w:eastAsia="仿宋" w:cs="仿宋"/>
          <w:sz w:val="32"/>
          <w:szCs w:val="32"/>
          <w:lang w:val="en-US" w:eastAsia="zh-CN"/>
        </w:rPr>
        <w:t>许可</w:t>
      </w:r>
      <w:r>
        <w:rPr>
          <w:rFonts w:hint="default" w:ascii="仿宋" w:hAnsi="仿宋" w:eastAsia="仿宋" w:cs="仿宋"/>
          <w:sz w:val="32"/>
          <w:szCs w:val="32"/>
          <w:lang w:val="en-US" w:eastAsia="zh-CN"/>
        </w:rPr>
        <w:t>事项的所有关键方面，包括但不限于产品的安全性、有效性、质量可控性，以及申报资料的真实性和完整性。应建立并保持与申请人之间畅通的沟通机制，审慎关注其对审评意见的反馈与回应，并对补充提交的资料进行核验，确认其符合审评机构要求，从而确保技术审评结论为最终的行政许可决定提供专业、可靠的技术支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现场检查</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应秉持客观公正原则，严格执行既定的检查程序、方案与标准，如实记录现场情况，确保检查报告中的每一项意见表述清晰、依据具体。针对检查中发现的缺陷，应对申请人整改后的情况进行复查，重点评估其纠正措施的有效性与可行性，确认相关问题已得到根本解决。对于需要技术检验的产品，须严格依据抽样规则抽取样品，并及时送至法定检测机构进行检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w:t>
      </w:r>
      <w:r>
        <w:rPr>
          <w:rFonts w:hint="default" w:ascii="仿宋" w:hAnsi="仿宋" w:eastAsia="仿宋" w:cs="仿宋"/>
          <w:sz w:val="32"/>
          <w:szCs w:val="32"/>
          <w:lang w:val="en-US" w:eastAsia="zh-CN"/>
        </w:rPr>
        <w:t>综合评定</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应在整合技术审评意见与现场检查报告的基础上，综合评估申请人的质量管理体系是否健全，以及其是否具备确保持续稳定生产的能力。对产品的安全性、有效性和质量可控性进行最终的整体性评价，并出具《综合评定报告书》。对于涉及重大技术争议或属于高风险类别的产品，可适时组织专家进行专题论证，为审评决策提供支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default" w:ascii="仿宋" w:hAnsi="仿宋" w:eastAsia="仿宋" w:cs="仿宋"/>
          <w:sz w:val="32"/>
          <w:szCs w:val="32"/>
          <w:lang w:val="en-US" w:eastAsia="zh-CN"/>
        </w:rPr>
        <w:t>审评管理</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须严格按照规定时限，将上述形成的技术审评意见、现场检查报告、综合评定报告书，以及与申请人的沟通记录、补充资料、问题整改情况报告、专家论证意见等全部过程与结论</w:t>
      </w:r>
      <w:r>
        <w:rPr>
          <w:rFonts w:hint="eastAsia" w:ascii="仿宋" w:hAnsi="仿宋" w:eastAsia="仿宋" w:cs="仿宋"/>
          <w:sz w:val="32"/>
          <w:szCs w:val="32"/>
          <w:lang w:val="en-US" w:eastAsia="zh-CN"/>
        </w:rPr>
        <w:t>资料</w:t>
      </w:r>
      <w:r>
        <w:rPr>
          <w:rFonts w:hint="default" w:ascii="仿宋" w:hAnsi="仿宋" w:eastAsia="仿宋" w:cs="仿宋"/>
          <w:sz w:val="32"/>
          <w:szCs w:val="32"/>
          <w:lang w:val="en-US" w:eastAsia="zh-CN"/>
        </w:rPr>
        <w:t>，准确、完整地录入监管信息平台，并及时提交至后续审评审批岗位，确保审评工作流程的顺畅衔接与全程可追溯。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rPr>
      </w:pPr>
      <w:r>
        <w:rPr>
          <w:rFonts w:hint="eastAsia" w:ascii="楷体_GB2312" w:hAnsi="楷体_GB2312" w:eastAsia="楷体_GB2312" w:cs="楷体_GB2312"/>
          <w:sz w:val="32"/>
          <w:szCs w:val="32"/>
          <w:lang w:val="en-US" w:eastAsia="zh-CN"/>
        </w:rPr>
        <w:t>（三）实质性审查岗位（处经办人员）</w:t>
      </w:r>
    </w:p>
    <w:p>
      <w:pPr>
        <w:pStyle w:val="7"/>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outlineLvl w:val="9"/>
      </w:pP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审查内容与标准</w:t>
      </w: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完整性核查：依据法定申请材料清单，逐项核对，确保材料齐全、格式规范、签章完备、内容一致。</w:t>
      </w: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真实性确认：</w:t>
      </w:r>
      <w:r>
        <w:rPr>
          <w:rFonts w:hint="eastAsia" w:ascii="仿宋" w:hAnsi="仿宋" w:eastAsia="仿宋" w:cs="仿宋"/>
          <w:kern w:val="2"/>
          <w:sz w:val="32"/>
          <w:szCs w:val="32"/>
          <w:lang w:val="en-US" w:eastAsia="zh-CN" w:bidi="ar-SA"/>
        </w:rPr>
        <w:t>通过比对原件与复印件、数据交叉验证、监管平台查询等方式</w:t>
      </w:r>
      <w:r>
        <w:rPr>
          <w:rFonts w:hint="default" w:ascii="仿宋" w:hAnsi="仿宋" w:eastAsia="仿宋" w:cs="仿宋"/>
          <w:kern w:val="2"/>
          <w:sz w:val="32"/>
          <w:szCs w:val="32"/>
          <w:lang w:val="en-US" w:eastAsia="zh-CN" w:bidi="ar-SA"/>
        </w:rPr>
        <w:t>，核实申请材料的真实性。</w:t>
      </w:r>
      <w:r>
        <w:rPr>
          <w:rFonts w:hint="eastAsia" w:ascii="仿宋" w:hAnsi="仿宋" w:eastAsia="仿宋" w:cs="仿宋"/>
          <w:sz w:val="32"/>
          <w:szCs w:val="32"/>
          <w:lang w:val="en-US" w:eastAsia="zh-CN"/>
        </w:rPr>
        <w:t>（3）符合性审查：核查申请事项是否属于许可范围</w:t>
      </w:r>
      <w:r>
        <w:rPr>
          <w:rFonts w:hint="eastAsia" w:ascii="仿宋" w:hAnsi="仿宋" w:eastAsia="仿宋" w:cs="仿宋"/>
          <w:kern w:val="2"/>
          <w:sz w:val="32"/>
          <w:szCs w:val="32"/>
          <w:lang w:val="en-US" w:eastAsia="zh-CN" w:bidi="ar-SA"/>
        </w:rPr>
        <w:t>，</w:t>
      </w:r>
      <w:r>
        <w:rPr>
          <w:rFonts w:hint="default" w:ascii="仿宋" w:hAnsi="仿宋" w:eastAsia="仿宋" w:cs="仿宋"/>
          <w:kern w:val="2"/>
          <w:sz w:val="32"/>
          <w:szCs w:val="32"/>
          <w:lang w:val="en-US" w:eastAsia="zh-CN" w:bidi="ar-SA"/>
        </w:rPr>
        <w:t>申请</w:t>
      </w:r>
      <w:r>
        <w:rPr>
          <w:rFonts w:hint="eastAsia" w:ascii="仿宋" w:hAnsi="仿宋" w:eastAsia="仿宋" w:cs="仿宋"/>
          <w:kern w:val="2"/>
          <w:sz w:val="32"/>
          <w:szCs w:val="32"/>
          <w:lang w:val="en-US" w:eastAsia="zh-CN" w:bidi="ar-SA"/>
        </w:rPr>
        <w:t>材料是否符合法定形式要求。（4）专业性核查：</w:t>
      </w:r>
      <w:r>
        <w:rPr>
          <w:rFonts w:hint="default" w:ascii="仿宋" w:hAnsi="仿宋" w:eastAsia="仿宋" w:cs="仿宋"/>
          <w:kern w:val="2"/>
          <w:sz w:val="32"/>
          <w:szCs w:val="32"/>
          <w:lang w:val="en-US" w:eastAsia="zh-CN" w:bidi="ar-SA"/>
        </w:rPr>
        <w:t>根据药品注册、生产、经营，医疗器械注册、生产，化妆品生产等不同许可事项的核心要素，重点审查其是否符合相关法律法规及技术标准的具体要求。</w:t>
      </w:r>
      <w:r>
        <w:rPr>
          <w:rFonts w:hint="eastAsia" w:ascii="仿宋" w:hAnsi="仿宋" w:eastAsia="仿宋" w:cs="仿宋"/>
          <w:kern w:val="2"/>
          <w:sz w:val="32"/>
          <w:szCs w:val="32"/>
          <w:lang w:val="en-US" w:eastAsia="zh-CN" w:bidi="ar-SA"/>
        </w:rPr>
        <w:t>（5）</w:t>
      </w:r>
      <w:r>
        <w:rPr>
          <w:rFonts w:hint="default" w:ascii="仿宋" w:hAnsi="仿宋" w:eastAsia="仿宋" w:cs="仿宋"/>
          <w:kern w:val="2"/>
          <w:sz w:val="32"/>
          <w:szCs w:val="32"/>
          <w:lang w:val="en-US" w:eastAsia="zh-CN" w:bidi="ar-SA"/>
        </w:rPr>
        <w:t>技术审评意见审查：全面评估技术审评意见的准确性，以及申请人对审评意见回应的充分性、补充资料的可靠性。</w:t>
      </w:r>
      <w:r>
        <w:rPr>
          <w:rFonts w:hint="eastAsia" w:ascii="仿宋" w:hAnsi="仿宋" w:eastAsia="仿宋" w:cs="仿宋"/>
          <w:kern w:val="2"/>
          <w:sz w:val="32"/>
          <w:szCs w:val="32"/>
          <w:lang w:val="en-US" w:eastAsia="zh-CN" w:bidi="ar-SA"/>
        </w:rPr>
        <w:t>（6）</w:t>
      </w:r>
      <w:r>
        <w:rPr>
          <w:rFonts w:hint="default" w:ascii="仿宋" w:hAnsi="仿宋" w:eastAsia="仿宋" w:cs="仿宋"/>
          <w:kern w:val="2"/>
          <w:sz w:val="32"/>
          <w:szCs w:val="32"/>
          <w:lang w:val="en-US" w:eastAsia="zh-CN" w:bidi="ar-SA"/>
        </w:rPr>
        <w:t>现场检查报告审查：核实现场检查发现的问题、申请人整改措施</w:t>
      </w:r>
      <w:r>
        <w:rPr>
          <w:rFonts w:hint="eastAsia" w:ascii="仿宋" w:hAnsi="仿宋" w:eastAsia="仿宋" w:cs="仿宋"/>
          <w:kern w:val="2"/>
          <w:sz w:val="32"/>
          <w:szCs w:val="32"/>
          <w:lang w:val="en-US" w:eastAsia="zh-CN" w:bidi="ar-SA"/>
        </w:rPr>
        <w:t>的落实情况及验证数据。（7）</w:t>
      </w:r>
      <w:r>
        <w:rPr>
          <w:rFonts w:hint="default" w:ascii="仿宋" w:hAnsi="仿宋" w:eastAsia="仿宋" w:cs="仿宋"/>
          <w:kern w:val="2"/>
          <w:sz w:val="32"/>
          <w:szCs w:val="32"/>
          <w:lang w:val="en-US" w:eastAsia="zh-CN" w:bidi="ar-SA"/>
        </w:rPr>
        <w:t>综合评定结论审查：基于技术审评与现场检查结果，对申请人质量管理体系的健全性及产品安全性、有效性、质量可控性进行最终评估。</w:t>
      </w:r>
      <w:r>
        <w:rPr>
          <w:rFonts w:hint="eastAsia" w:ascii="仿宋" w:hAnsi="仿宋" w:eastAsia="仿宋" w:cs="仿宋"/>
          <w:kern w:val="2"/>
          <w:sz w:val="32"/>
          <w:szCs w:val="32"/>
          <w:lang w:val="en-US" w:eastAsia="zh-CN" w:bidi="ar-SA"/>
        </w:rPr>
        <w:t>（8）</w:t>
      </w:r>
      <w:r>
        <w:rPr>
          <w:rFonts w:hint="default" w:ascii="仿宋" w:hAnsi="仿宋" w:eastAsia="仿宋" w:cs="仿宋"/>
          <w:kern w:val="2"/>
          <w:sz w:val="32"/>
          <w:szCs w:val="32"/>
          <w:lang w:val="en-US" w:eastAsia="zh-CN" w:bidi="ar-SA"/>
        </w:rPr>
        <w:t>特殊情况处置：对涉及重大复杂事项、高风险产品或新类别首件申请等特殊情况，组织协调会或专家论证会进行专题讨论。</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审查流程与要求</w:t>
      </w: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专业分工：根据申请事项的专业属性，</w:t>
      </w:r>
      <w:r>
        <w:rPr>
          <w:rFonts w:hint="eastAsia" w:ascii="仿宋" w:hAnsi="仿宋" w:eastAsia="仿宋" w:cs="仿宋"/>
          <w:kern w:val="2"/>
          <w:sz w:val="32"/>
          <w:szCs w:val="32"/>
          <w:lang w:val="en-US" w:eastAsia="zh-CN" w:bidi="ar-SA"/>
        </w:rPr>
        <w:t>分配实质性审查人员，</w:t>
      </w:r>
      <w:r>
        <w:rPr>
          <w:rFonts w:hint="default" w:ascii="仿宋" w:hAnsi="仿宋" w:eastAsia="仿宋" w:cs="仿宋"/>
          <w:kern w:val="2"/>
          <w:sz w:val="32"/>
          <w:szCs w:val="32"/>
          <w:lang w:val="en-US" w:eastAsia="zh-CN" w:bidi="ar-SA"/>
        </w:rPr>
        <w:t>实行“专项专人”审查制度。</w:t>
      </w: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疑义处理：对审查中发现的疑义问题，应通过监管平台退回并明确要求补充说明，全程记录沟通内容。</w:t>
      </w: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时限管理：因情况复杂需延长审查时限的，应严格履行内部报批程序，并及时告知申请人。</w:t>
      </w:r>
      <w:r>
        <w:rPr>
          <w:rFonts w:hint="eastAsia" w:ascii="仿宋" w:hAnsi="仿宋" w:eastAsia="仿宋" w:cs="仿宋"/>
          <w:kern w:val="2"/>
          <w:sz w:val="32"/>
          <w:szCs w:val="32"/>
          <w:lang w:val="en-US" w:eastAsia="zh-CN" w:bidi="ar-SA"/>
        </w:rPr>
        <w:t>（4）</w:t>
      </w:r>
      <w:r>
        <w:rPr>
          <w:rFonts w:hint="default" w:ascii="仿宋" w:hAnsi="仿宋" w:eastAsia="仿宋" w:cs="仿宋"/>
          <w:kern w:val="2"/>
          <w:sz w:val="32"/>
          <w:szCs w:val="32"/>
          <w:lang w:val="en-US" w:eastAsia="zh-CN" w:bidi="ar-SA"/>
        </w:rPr>
        <w:t>纪律与保密：严格遵守廉政纪律，严禁利益输送或违规干预；对知悉的技术秘密和商业秘密负有严格保密义务；确保审查全过程记录留痕。</w:t>
      </w:r>
      <w:r>
        <w:rPr>
          <w:rFonts w:hint="eastAsia" w:ascii="仿宋" w:hAnsi="仿宋" w:eastAsia="仿宋" w:cs="仿宋"/>
          <w:kern w:val="2"/>
          <w:sz w:val="32"/>
          <w:szCs w:val="32"/>
          <w:lang w:val="en-US" w:eastAsia="zh-CN" w:bidi="ar-SA"/>
        </w:rPr>
        <w:t xml:space="preserve">  </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审查结论与处理</w:t>
      </w: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审查通过：结论应明确阐述申请符合的法定条件，并提出予以许可的审批建议。</w:t>
      </w: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审查不通过：结论应详细列明所违反法律法规的具体条款（</w:t>
      </w:r>
      <w:r>
        <w:rPr>
          <w:rFonts w:hint="eastAsia" w:ascii="仿宋" w:hAnsi="仿宋" w:eastAsia="仿宋" w:cs="仿宋"/>
          <w:kern w:val="2"/>
          <w:sz w:val="32"/>
          <w:szCs w:val="32"/>
          <w:lang w:val="en-US" w:eastAsia="zh-CN" w:bidi="ar-SA"/>
        </w:rPr>
        <w:t>具体到</w:t>
      </w:r>
      <w:r>
        <w:rPr>
          <w:rFonts w:hint="default" w:ascii="仿宋" w:hAnsi="仿宋" w:eastAsia="仿宋" w:cs="仿宋"/>
          <w:kern w:val="2"/>
          <w:sz w:val="32"/>
          <w:szCs w:val="32"/>
          <w:lang w:val="en-US" w:eastAsia="zh-CN" w:bidi="ar-SA"/>
        </w:rPr>
        <w:t>条、款、项、目），陈述不符合的事实依据，并提出不予许可的审批建议。</w:t>
      </w: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重大事项处理：对于重大复杂事项，经</w:t>
      </w:r>
      <w:r>
        <w:rPr>
          <w:rFonts w:hint="eastAsia" w:ascii="仿宋" w:hAnsi="仿宋" w:eastAsia="仿宋" w:cs="仿宋"/>
          <w:kern w:val="2"/>
          <w:sz w:val="32"/>
          <w:szCs w:val="32"/>
          <w:lang w:val="en-US" w:eastAsia="zh-CN" w:bidi="ar-SA"/>
        </w:rPr>
        <w:t>向汇报</w:t>
      </w:r>
      <w:r>
        <w:rPr>
          <w:rFonts w:hint="default" w:ascii="仿宋" w:hAnsi="仿宋" w:eastAsia="仿宋" w:cs="仿宋"/>
          <w:kern w:val="2"/>
          <w:sz w:val="32"/>
          <w:szCs w:val="32"/>
          <w:lang w:val="en-US" w:eastAsia="zh-CN" w:bidi="ar-SA"/>
        </w:rPr>
        <w:t>处负责人同意后，应组织协调会或专项论证会审议。</w:t>
      </w:r>
      <w:r>
        <w:rPr>
          <w:rFonts w:hint="eastAsia" w:ascii="仿宋" w:hAnsi="仿宋" w:eastAsia="仿宋" w:cs="仿宋"/>
          <w:kern w:val="2"/>
          <w:sz w:val="32"/>
          <w:szCs w:val="32"/>
          <w:lang w:val="en-US" w:eastAsia="zh-CN" w:bidi="ar-SA"/>
        </w:rPr>
        <w:t>（4）</w:t>
      </w:r>
      <w:r>
        <w:rPr>
          <w:rFonts w:hint="default" w:ascii="仿宋" w:hAnsi="仿宋" w:eastAsia="仿宋" w:cs="仿宋"/>
          <w:kern w:val="2"/>
          <w:sz w:val="32"/>
          <w:szCs w:val="32"/>
          <w:lang w:val="en-US" w:eastAsia="zh-CN" w:bidi="ar-SA"/>
        </w:rPr>
        <w:t>信息归档与流转：</w:t>
      </w:r>
      <w:r>
        <w:rPr>
          <w:rFonts w:hint="eastAsia" w:ascii="仿宋" w:hAnsi="仿宋" w:eastAsia="仿宋" w:cs="仿宋"/>
          <w:sz w:val="32"/>
          <w:szCs w:val="32"/>
          <w:lang w:val="en-US" w:eastAsia="zh-CN"/>
        </w:rPr>
        <w:t>将审查过程、结果全部录入监管平台，及时提交后续</w:t>
      </w:r>
      <w:r>
        <w:rPr>
          <w:rFonts w:hint="default" w:ascii="仿宋" w:hAnsi="仿宋" w:eastAsia="仿宋" w:cs="仿宋"/>
          <w:kern w:val="2"/>
          <w:sz w:val="32"/>
          <w:szCs w:val="32"/>
          <w:lang w:val="en-US" w:eastAsia="zh-CN" w:bidi="ar-SA"/>
        </w:rPr>
        <w:t>审批</w:t>
      </w:r>
      <w:r>
        <w:rPr>
          <w:rFonts w:hint="eastAsia" w:ascii="仿宋" w:hAnsi="仿宋" w:eastAsia="仿宋" w:cs="仿宋"/>
          <w:sz w:val="32"/>
          <w:szCs w:val="32"/>
          <w:lang w:val="en-US" w:eastAsia="zh-CN"/>
        </w:rPr>
        <w:t>岗位。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（四）行政审核岗位（处长）</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outlineLvl w:val="9"/>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1.审核审查过程是否符合法定时限、流程及证据是</w:t>
      </w:r>
      <w:bookmarkStart w:id="13" w:name="_GoBack"/>
      <w:bookmarkEnd w:id="13"/>
      <w:r>
        <w:rPr>
          <w:rFonts w:hint="default" w:ascii="仿宋" w:hAnsi="仿宋" w:eastAsia="仿宋" w:cs="仿宋"/>
          <w:kern w:val="2"/>
          <w:sz w:val="32"/>
          <w:szCs w:val="32"/>
          <w:lang w:val="en-US" w:eastAsia="zh-CN" w:bidi="ar-SA"/>
        </w:rPr>
        <w:t>否充分、确凿。</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2.审核审查结论是否依法作出，是否存在越权或滥权情形。</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针对审查材料中存在的遗漏或瑕疵，退回要求审查部门补充问题、完善材料，或组织进行必要的补正工作。</w:t>
      </w:r>
    </w:p>
    <w:p>
      <w:pPr>
        <w:pStyle w:val="7"/>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left="0" w:leftChars="0" w:right="0" w:firstLine="640" w:firstLineChars="200"/>
        <w:jc w:val="both"/>
        <w:textAlignment w:val="auto"/>
        <w:outlineLvl w:val="9"/>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w:t>
      </w:r>
      <w:r>
        <w:rPr>
          <w:rFonts w:hint="default" w:ascii="仿宋" w:hAnsi="仿宋" w:eastAsia="仿宋" w:cs="仿宋"/>
          <w:kern w:val="2"/>
          <w:sz w:val="32"/>
          <w:szCs w:val="32"/>
          <w:lang w:val="en-US" w:eastAsia="zh-CN" w:bidi="ar-SA"/>
        </w:rPr>
        <w:t>对于涉及重大、疑难、复杂或影响广泛的事项，</w:t>
      </w:r>
      <w:r>
        <w:rPr>
          <w:rFonts w:hint="eastAsia" w:ascii="仿宋" w:hAnsi="仿宋" w:eastAsia="仿宋" w:cs="仿宋"/>
          <w:kern w:val="2"/>
          <w:sz w:val="32"/>
          <w:szCs w:val="32"/>
          <w:lang w:val="en-US" w:eastAsia="zh-CN" w:bidi="ar-SA"/>
        </w:rPr>
        <w:t>向负责</w:t>
      </w:r>
      <w:r>
        <w:rPr>
          <w:rFonts w:hint="default" w:ascii="仿宋" w:hAnsi="仿宋" w:eastAsia="仿宋" w:cs="仿宋"/>
          <w:kern w:val="2"/>
          <w:sz w:val="32"/>
          <w:szCs w:val="32"/>
          <w:lang w:val="en-US" w:eastAsia="zh-CN" w:bidi="ar-SA"/>
        </w:rPr>
        <w:t>审批岗位</w:t>
      </w:r>
      <w:r>
        <w:rPr>
          <w:rFonts w:hint="eastAsia" w:ascii="仿宋" w:hAnsi="仿宋" w:eastAsia="仿宋" w:cs="仿宋"/>
          <w:kern w:val="2"/>
          <w:sz w:val="32"/>
          <w:szCs w:val="32"/>
          <w:lang w:val="en-US" w:eastAsia="zh-CN" w:bidi="ar-SA"/>
        </w:rPr>
        <w:t>的局领导汇报</w:t>
      </w:r>
      <w:r>
        <w:rPr>
          <w:rFonts w:hint="default" w:ascii="仿宋" w:hAnsi="仿宋" w:eastAsia="仿宋" w:cs="仿宋"/>
          <w:kern w:val="2"/>
          <w:sz w:val="32"/>
          <w:szCs w:val="32"/>
          <w:lang w:val="en-US" w:eastAsia="zh-CN" w:bidi="ar-SA"/>
        </w:rPr>
        <w:t>或提交局务会议进行集体审议。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（五）审批岗位（局领导）</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1.根据各环节意见作出准予或不予许可决定。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2.退回遗漏问题要求完善或组织补正。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3.在监管平台记录审批意见并推送制证送达岗。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4.特殊情况依法延长审批时限并告知申请人。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（六）制证送达岗位（省政府政务大厅药品监管分中心人员）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1.根据审批决定制作许可证件并核对内容。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2.通过邮寄或现场领取方式送达，留存回执；非法人、非企业联系人领取需授权书。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3. 归档审批全过程材料并公示许可结果。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4.规定时限内完成制证送达，送达过程可追溯。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lang w:val="en-US" w:eastAsia="zh-CN"/>
        </w:rPr>
        <w:t>三、工作流程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行政许可工作实施“受理→审评检查→行政审查→审批→制证送达→归档公示”的闭环流程。各环节工作确保客观公正，全程需在监管平台详细记录意见及处理过程，超时限或退回需部门负责人同意并说明原因。对于重大复杂事项启动会商机制，由多部门或专家联合讨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四、监督与责任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（一）内部监督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定期开展行政许可案卷评查，重点审查程序合规性；将审批效率、质量与服务效果等关键指标纳入年度考核体系，并作为评优评先的重要依据；对发现的违规违纪行为，依规依纪严肃追究责任。</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（二）外部监督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公开公示事项办理流程、时限及结果等信息，畅通投诉举报渠道，自觉接受社会监督。健全并落实政务服务“好差评”制度，持续提升政务服务质量和效能。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（三）廉政纪律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严禁接受可能影响公正履职的任何宴请、礼品或利益输送；遇涉及本人或亲属利益的情形须主动申报并回避；严格执行一次性告知、首问负责等工作制度；严格遵守保密规定，严禁泄露工作中知悉的申请人技术秘密、商业秘密及个人隐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黑体" w:hAnsi="黑体" w:eastAsia="黑体" w:cs="黑体"/>
          <w:sz w:val="32"/>
          <w:szCs w:val="32"/>
          <w:lang w:val="en-US" w:eastAsia="zh-CN"/>
        </w:rPr>
        <w:t>五、附则</w:t>
      </w: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本制度自发布之日起施行，根据实际需要或法律法规变更适时修订。附《不予受理/许可通知书送签件》模板。 </w:t>
      </w: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jc w:val="both"/>
        <w:textAlignment w:val="auto"/>
        <w:outlineLvl w:val="9"/>
        <w:rPr>
          <w:rFonts w:hint="eastAsia" w:ascii="仿宋" w:hAnsi="仿宋" w:eastAsia="仿宋" w:cs="仿宋"/>
          <w:sz w:val="32"/>
          <w:szCs w:val="32"/>
          <w:lang w:val="en-US" w:eastAsia="zh-CN"/>
        </w:rPr>
      </w:pPr>
    </w:p>
    <w:p>
      <w:pPr>
        <w:jc w:val="left"/>
        <w:rPr>
          <w:rFonts w:hint="eastAsia" w:ascii="方正黑体_GBK" w:hAnsi="方正黑体_GBK" w:eastAsia="方正黑体_GBK" w:cs="方正黑体_GBK"/>
          <w:color w:val="FF0000"/>
          <w:lang w:val="en-US" w:eastAsia="zh-CN"/>
        </w:rPr>
      </w:pPr>
      <w:r>
        <w:rPr>
          <w:rFonts w:hint="eastAsia" w:ascii="仿宋" w:hAnsi="仿宋" w:eastAsia="仿宋" w:cs="仿宋"/>
          <w:color w:val="FF0000"/>
          <w:sz w:val="32"/>
          <w:szCs w:val="32"/>
          <w:lang w:val="en-US" w:eastAsia="zh-CN"/>
        </w:rPr>
        <w:t>附：</w:t>
      </w:r>
    </w:p>
    <w:p>
      <w:pPr>
        <w:widowControl w:val="0"/>
        <w:wordWrap/>
        <w:adjustRightInd/>
        <w:snapToGrid/>
        <w:spacing w:line="500" w:lineRule="exact"/>
        <w:ind w:left="0" w:leftChars="0" w:right="0" w:firstLine="0" w:firstLineChars="0"/>
        <w:jc w:val="center"/>
        <w:textAlignment w:val="auto"/>
        <w:outlineLvl w:val="9"/>
        <w:rPr>
          <w:rFonts w:hint="eastAsia" w:ascii="方正黑体_GBK" w:hAnsi="方正黑体_GBK" w:eastAsia="方正黑体_GBK" w:cs="方正黑体_GBK"/>
          <w:sz w:val="36"/>
          <w:szCs w:val="36"/>
          <w:lang w:val="en-US" w:eastAsia="zh-CN"/>
        </w:rPr>
      </w:pPr>
      <w:r>
        <w:rPr>
          <w:rFonts w:hint="eastAsia" w:ascii="方正黑体_GBK" w:hAnsi="方正黑体_GBK" w:eastAsia="方正黑体_GBK" w:cs="方正黑体_GBK"/>
          <w:sz w:val="36"/>
          <w:szCs w:val="36"/>
          <w:lang w:val="en-US" w:eastAsia="zh-CN"/>
        </w:rPr>
        <w:t>甘肃省药品监督管理局</w:t>
      </w:r>
    </w:p>
    <w:p>
      <w:pPr>
        <w:widowControl w:val="0"/>
        <w:wordWrap/>
        <w:adjustRightInd/>
        <w:snapToGrid/>
        <w:spacing w:line="500" w:lineRule="exact"/>
        <w:ind w:left="0" w:leftChars="0" w:right="0" w:firstLine="0" w:firstLineChars="0"/>
        <w:jc w:val="center"/>
        <w:textAlignment w:val="auto"/>
        <w:outlineLvl w:val="9"/>
        <w:rPr>
          <w:rFonts w:hint="eastAsia" w:ascii="方正黑体_GBK" w:hAnsi="方正黑体_GBK" w:eastAsia="方正黑体_GBK" w:cs="方正黑体_GBK"/>
          <w:sz w:val="36"/>
          <w:szCs w:val="36"/>
          <w:lang w:val="en-US" w:eastAsia="zh-CN"/>
        </w:rPr>
      </w:pPr>
      <w:r>
        <w:rPr>
          <w:rFonts w:hint="eastAsia" w:ascii="方正黑体_GBK" w:hAnsi="方正黑体_GBK" w:eastAsia="方正黑体_GBK" w:cs="方正黑体_GBK"/>
          <w:sz w:val="36"/>
          <w:szCs w:val="36"/>
          <w:lang w:val="en-US" w:eastAsia="zh-CN"/>
        </w:rPr>
        <w:t>不予受理/许可通知书送签件（模版）</w:t>
      </w:r>
    </w:p>
    <w:tbl>
      <w:tblPr>
        <w:tblStyle w:val="9"/>
        <w:tblpPr w:leftFromText="180" w:rightFromText="180" w:vertAnchor="text" w:horzAnchor="page" w:tblpX="2198" w:tblpY="311"/>
        <w:tblOverlap w:val="never"/>
        <w:tblW w:w="8499"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2867"/>
        <w:gridCol w:w="2867"/>
        <w:gridCol w:w="27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732" w:hRule="atLeast"/>
        </w:trPr>
        <w:tc>
          <w:tcPr>
            <w:tcW w:w="2867" w:type="dxa"/>
            <w:tcBorders>
              <w:tl2br w:val="nil"/>
              <w:tr2bl w:val="nil"/>
            </w:tcBorders>
            <w:vAlign w:val="center"/>
          </w:tcPr>
          <w:p>
            <w:pPr>
              <w:widowControl w:val="0"/>
              <w:jc w:val="both"/>
              <w:rPr>
                <w:rFonts w:hint="eastAsia" w:ascii="黑体" w:hAnsi="黑体" w:eastAsia="黑体" w:cs="黑体"/>
                <w:sz w:val="24"/>
                <w:szCs w:val="24"/>
                <w:lang w:eastAsia="zh-CN"/>
              </w:rPr>
            </w:pPr>
            <w:r>
              <w:rPr>
                <w:rFonts w:hint="eastAsia" w:ascii="黑体" w:hAnsi="黑体" w:eastAsia="黑体" w:cs="黑体"/>
                <w:sz w:val="24"/>
                <w:szCs w:val="24"/>
                <w:lang w:eastAsia="zh-CN"/>
              </w:rPr>
              <w:t>签发</w:t>
            </w:r>
            <w:r>
              <w:rPr>
                <w:rFonts w:hint="eastAsia" w:ascii="黑体" w:hAnsi="黑体" w:eastAsia="黑体" w:cs="黑体"/>
                <w:sz w:val="24"/>
                <w:szCs w:val="24"/>
                <w:lang w:val="en-US" w:eastAsia="zh-CN"/>
              </w:rPr>
              <w:t>:</w:t>
            </w:r>
          </w:p>
        </w:tc>
        <w:tc>
          <w:tcPr>
            <w:tcW w:w="2867" w:type="dxa"/>
            <w:tcBorders>
              <w:tl2br w:val="nil"/>
              <w:tr2bl w:val="nil"/>
            </w:tcBorders>
            <w:vAlign w:val="center"/>
          </w:tcPr>
          <w:p>
            <w:pPr>
              <w:widowControl w:val="0"/>
              <w:jc w:val="both"/>
              <w:rPr>
                <w:rFonts w:hint="default" w:ascii="黑体" w:hAnsi="黑体" w:eastAsia="黑体" w:cs="黑体"/>
                <w:sz w:val="24"/>
                <w:szCs w:val="24"/>
                <w:lang w:val="en-US" w:eastAsia="zh-CN"/>
              </w:rPr>
            </w:pPr>
            <w:r>
              <w:rPr>
                <w:rFonts w:hint="eastAsia" w:ascii="黑体" w:hAnsi="黑体" w:eastAsia="黑体" w:cs="黑体"/>
                <w:sz w:val="24"/>
                <w:szCs w:val="24"/>
                <w:lang w:eastAsia="zh-CN"/>
              </w:rPr>
              <w:t>审核：</w:t>
            </w:r>
            <w:r>
              <w:rPr>
                <w:rFonts w:hint="eastAsia" w:ascii="黑体" w:hAnsi="黑体" w:eastAsia="黑体" w:cs="黑体"/>
                <w:sz w:val="24"/>
                <w:szCs w:val="24"/>
                <w:lang w:val="en-US" w:eastAsia="zh-CN"/>
              </w:rPr>
              <w:t xml:space="preserve">           </w:t>
            </w:r>
          </w:p>
        </w:tc>
        <w:tc>
          <w:tcPr>
            <w:tcW w:w="2765" w:type="dxa"/>
            <w:tcBorders>
              <w:tl2br w:val="nil"/>
              <w:tr2bl w:val="nil"/>
            </w:tcBorders>
            <w:vAlign w:val="center"/>
          </w:tcPr>
          <w:p>
            <w:pPr>
              <w:widowControl w:val="0"/>
              <w:jc w:val="both"/>
              <w:rPr>
                <w:rFonts w:hint="eastAsia" w:ascii="黑体" w:hAnsi="黑体" w:eastAsia="黑体" w:cs="黑体"/>
                <w:sz w:val="24"/>
                <w:szCs w:val="24"/>
              </w:rPr>
            </w:pPr>
            <w:r>
              <w:rPr>
                <w:rFonts w:hint="eastAsia" w:ascii="黑体" w:hAnsi="黑体" w:eastAsia="黑体" w:cs="黑体"/>
                <w:sz w:val="24"/>
                <w:szCs w:val="24"/>
                <w:lang w:eastAsia="zh-CN"/>
              </w:rPr>
              <w:t>经办</w:t>
            </w:r>
            <w:r>
              <w:rPr>
                <w:rFonts w:hint="eastAsia" w:ascii="黑体" w:hAnsi="黑体" w:eastAsia="黑体" w:cs="黑体"/>
                <w:sz w:val="24"/>
                <w:szCs w:val="24"/>
              </w:rPr>
              <w:t>:</w:t>
            </w:r>
          </w:p>
        </w:tc>
      </w:tr>
    </w:tbl>
    <w:p>
      <w:pPr>
        <w:widowControl/>
        <w:pBdr>
          <w:top w:val="none" w:color="auto" w:sz="0" w:space="0"/>
          <w:left w:val="none" w:color="auto" w:sz="0" w:space="0"/>
          <w:bottom w:val="none" w:color="auto" w:sz="0" w:space="0"/>
          <w:right w:val="none" w:color="auto" w:sz="0" w:space="0"/>
        </w:pBdr>
        <w:shd w:val="clear" w:color="auto" w:fill="FFFFFF"/>
        <w:wordWrap/>
        <w:adjustRightInd/>
        <w:snapToGrid/>
        <w:spacing w:beforeAutospacing="0" w:afterAutospacing="0" w:line="500" w:lineRule="exact"/>
        <w:ind w:left="0" w:right="0" w:firstLine="0"/>
        <w:jc w:val="left"/>
        <w:textAlignment w:val="auto"/>
        <w:rPr>
          <w:rFonts w:hint="eastAsia" w:ascii="sans-serif" w:hAnsi="sans-serif" w:eastAsia="sans-serif" w:cs="sans-serif"/>
          <w:i w:val="0"/>
          <w:caps w:val="0"/>
          <w:spacing w:val="0"/>
          <w:kern w:val="0"/>
          <w:sz w:val="26"/>
          <w:szCs w:val="26"/>
          <w:shd w:val="clear" w:color="auto" w:fill="FFFFFF"/>
          <w:lang w:val="en-US" w:eastAsia="zh-CN"/>
        </w:rPr>
      </w:pPr>
      <w:r>
        <w:rPr>
          <w:rFonts w:hint="eastAsia" w:ascii="sans-serif" w:hAnsi="sans-serif" w:eastAsia="sans-serif" w:cs="sans-serif"/>
          <w:i w:val="0"/>
          <w:caps w:val="0"/>
          <w:spacing w:val="0"/>
          <w:kern w:val="0"/>
          <w:sz w:val="26"/>
          <w:szCs w:val="26"/>
          <w:shd w:val="clear" w:color="auto" w:fill="FFFFFF"/>
          <w:lang w:val="en-US" w:eastAsia="zh-CN"/>
        </w:rPr>
        <w:t xml:space="preserve">  </w:t>
      </w:r>
      <w:r>
        <w:rPr>
          <w:rFonts w:hint="default" w:ascii="sans-serif" w:hAnsi="sans-serif" w:eastAsia="sans-serif" w:cs="sans-serif"/>
          <w:i w:val="0"/>
          <w:caps w:val="0"/>
          <w:spacing w:val="0"/>
          <w:kern w:val="0"/>
          <w:sz w:val="26"/>
          <w:szCs w:val="26"/>
          <w:shd w:val="clear" w:color="auto" w:fill="FFFFFF"/>
          <w:lang w:val="en-US" w:eastAsia="zh-CN"/>
        </w:rPr>
        <w:t>受理号：</w:t>
      </w:r>
      <w:r>
        <w:rPr>
          <w:rFonts w:hint="eastAsia" w:ascii="sans-serif" w:hAnsi="sans-serif" w:eastAsia="sans-serif" w:cs="sans-serif"/>
          <w:i w:val="0"/>
          <w:caps w:val="0"/>
          <w:spacing w:val="0"/>
          <w:kern w:val="0"/>
          <w:sz w:val="26"/>
          <w:szCs w:val="26"/>
          <w:shd w:val="clear" w:color="auto" w:fill="FFFFFF"/>
          <w:lang w:val="en-US" w:eastAsia="zh-CN"/>
        </w:rPr>
        <w:t>XXXXXXXXXXX甘                 登记</w:t>
      </w:r>
      <w:r>
        <w:rPr>
          <w:rFonts w:hint="default" w:ascii="sans-serif" w:hAnsi="sans-serif" w:eastAsia="sans-serif" w:cs="sans-serif"/>
          <w:i w:val="0"/>
          <w:caps w:val="0"/>
          <w:spacing w:val="0"/>
          <w:kern w:val="0"/>
          <w:sz w:val="26"/>
          <w:szCs w:val="26"/>
          <w:shd w:val="clear" w:color="auto" w:fill="FFFFFF"/>
          <w:lang w:val="en-US" w:eastAsia="zh-CN"/>
        </w:rPr>
        <w:t>号：</w:t>
      </w:r>
      <w:r>
        <w:rPr>
          <w:rFonts w:hint="eastAsia" w:ascii="sans-serif" w:hAnsi="sans-serif" w:eastAsia="sans-serif" w:cs="sans-serif"/>
          <w:i w:val="0"/>
          <w:caps w:val="0"/>
          <w:spacing w:val="0"/>
          <w:kern w:val="0"/>
          <w:sz w:val="26"/>
          <w:szCs w:val="26"/>
          <w:shd w:val="clear" w:color="auto" w:fill="FFFFFF"/>
          <w:lang w:val="en-US" w:eastAsia="zh-CN"/>
        </w:rPr>
        <w:t>XXXXXXXXXXXX</w:t>
      </w:r>
    </w:p>
    <w:p>
      <w:pPr>
        <w:widowControl/>
        <w:pBdr>
          <w:top w:val="none" w:color="auto" w:sz="0" w:space="0"/>
          <w:left w:val="none" w:color="auto" w:sz="0" w:space="0"/>
          <w:bottom w:val="none" w:color="auto" w:sz="0" w:space="0"/>
          <w:right w:val="none" w:color="auto" w:sz="0" w:space="0"/>
        </w:pBdr>
        <w:shd w:val="clear" w:color="auto" w:fill="FFFFFF"/>
        <w:wordWrap/>
        <w:adjustRightInd/>
        <w:snapToGrid/>
        <w:spacing w:beforeAutospacing="0" w:afterAutospacing="0" w:line="500" w:lineRule="exact"/>
        <w:ind w:left="0" w:right="0" w:firstLine="0"/>
        <w:jc w:val="left"/>
        <w:textAlignment w:val="auto"/>
        <w:rPr>
          <w:rFonts w:hint="eastAsia" w:ascii="sans-serif" w:hAnsi="sans-serif" w:eastAsia="sans-serif" w:cs="sans-serif"/>
          <w:i w:val="0"/>
          <w:caps w:val="0"/>
          <w:spacing w:val="0"/>
          <w:kern w:val="0"/>
          <w:sz w:val="26"/>
          <w:szCs w:val="26"/>
          <w:shd w:val="clear" w:color="auto" w:fill="FFFFFF"/>
          <w:lang w:val="en-US" w:eastAsia="zh-CN"/>
        </w:rPr>
      </w:pPr>
    </w:p>
    <w:p>
      <w:pPr>
        <w:widowControl/>
        <w:wordWrap/>
        <w:adjustRightInd/>
        <w:snapToGrid/>
        <w:spacing w:line="500" w:lineRule="exact"/>
        <w:ind w:right="0"/>
        <w:jc w:val="left"/>
        <w:textAlignment w:val="auto"/>
        <w:rPr>
          <w:rFonts w:hint="default"/>
          <w:sz w:val="28"/>
          <w:szCs w:val="28"/>
        </w:rPr>
      </w:pPr>
      <w:r>
        <w:rPr>
          <w:rFonts w:hint="eastAsia" w:ascii="sans-serif" w:hAnsi="sans-serif" w:eastAsia="sans-serif" w:cs="sans-serif"/>
          <w:i w:val="0"/>
          <w:caps w:val="0"/>
          <w:spacing w:val="0"/>
          <w:kern w:val="0"/>
          <w:sz w:val="28"/>
          <w:szCs w:val="28"/>
          <w:shd w:val="clear" w:color="auto" w:fill="FFFFFF"/>
          <w:lang w:val="en-US" w:eastAsia="zh-CN"/>
        </w:rPr>
        <w:t>XXXX</w:t>
      </w:r>
      <w:r>
        <w:rPr>
          <w:rFonts w:ascii="sans-serif" w:hAnsi="sans-serif" w:eastAsia="sans-serif" w:cs="sans-serif"/>
          <w:i w:val="0"/>
          <w:caps w:val="0"/>
          <w:spacing w:val="0"/>
          <w:kern w:val="0"/>
          <w:sz w:val="28"/>
          <w:szCs w:val="28"/>
          <w:shd w:val="clear" w:color="auto" w:fill="FFFFFF"/>
          <w:lang w:val="en-US" w:eastAsia="zh-CN"/>
        </w:rPr>
        <w:t>有限公司</w:t>
      </w:r>
      <w:r>
        <w:rPr>
          <w:rFonts w:hint="default" w:ascii="sans-serif" w:hAnsi="sans-serif" w:eastAsia="sans-serif" w:cs="sans-serif"/>
          <w:i w:val="0"/>
          <w:caps w:val="0"/>
          <w:spacing w:val="0"/>
          <w:kern w:val="0"/>
          <w:sz w:val="28"/>
          <w:szCs w:val="28"/>
          <w:shd w:val="clear" w:color="auto" w:fill="FFFFFF"/>
          <w:lang w:eastAsia="zh-CN"/>
        </w:rPr>
        <w:t>:</w:t>
      </w:r>
    </w:p>
    <w:p>
      <w:pPr>
        <w:pStyle w:val="3"/>
        <w:widowControl/>
        <w:pBdr>
          <w:top w:val="none" w:color="auto" w:sz="0" w:space="0"/>
          <w:left w:val="none" w:color="auto" w:sz="0" w:space="0"/>
          <w:bottom w:val="none" w:color="auto" w:sz="0" w:space="0"/>
          <w:right w:val="none" w:color="auto" w:sz="0" w:space="0"/>
        </w:pBdr>
        <w:shd w:val="clear" w:color="auto" w:fill="FFFFFF"/>
        <w:wordWrap/>
        <w:adjustRightInd/>
        <w:snapToGrid/>
        <w:spacing w:before="0" w:beforeAutospacing="0" w:after="0" w:afterAutospacing="0" w:line="500" w:lineRule="exact"/>
        <w:ind w:left="0" w:right="0" w:firstLine="0"/>
        <w:jc w:val="both"/>
        <w:textAlignment w:val="auto"/>
        <w:rPr>
          <w:rFonts w:hint="eastAsia" w:ascii="仿宋" w:hAnsi="仿宋" w:eastAsia="仿宋" w:cs="仿宋"/>
          <w:b w:val="0"/>
          <w:bCs w:val="0"/>
          <w:i w:val="0"/>
          <w:caps w:val="0"/>
          <w:color w:val="000000"/>
          <w:spacing w:val="0"/>
          <w:kern w:val="0"/>
          <w:sz w:val="28"/>
          <w:szCs w:val="28"/>
          <w:shd w:val="clear" w:color="auto" w:fill="FFFFFF"/>
          <w:lang w:val="en-US" w:eastAsia="zh-CN" w:bidi="ar-SA"/>
        </w:rPr>
      </w:pPr>
      <w:r>
        <w:rPr>
          <w:rFonts w:hint="eastAsia" w:ascii="微软雅黑" w:hAnsi="微软雅黑" w:eastAsia="微软雅黑" w:cs="微软雅黑"/>
          <w:i w:val="0"/>
          <w:caps w:val="0"/>
          <w:color w:val="000000"/>
          <w:spacing w:val="0"/>
          <w:kern w:val="0"/>
          <w:sz w:val="28"/>
          <w:szCs w:val="28"/>
          <w:shd w:val="clear" w:color="auto" w:fill="FFFFFF"/>
          <w:lang w:val="en-US" w:eastAsia="zh-CN" w:bidi="ar-SA"/>
        </w:rPr>
        <w:t xml:space="preserve">    </w:t>
      </w:r>
      <w:r>
        <w:rPr>
          <w:rFonts w:hint="eastAsia" w:ascii="仿宋" w:hAnsi="仿宋" w:eastAsia="仿宋" w:cs="仿宋"/>
          <w:b/>
          <w:bCs/>
          <w:i w:val="0"/>
          <w:caps w:val="0"/>
          <w:color w:val="000000"/>
          <w:spacing w:val="0"/>
          <w:kern w:val="0"/>
          <w:sz w:val="28"/>
          <w:szCs w:val="28"/>
          <w:shd w:val="clear" w:color="auto" w:fill="FFFFFF"/>
          <w:lang w:val="en-US" w:eastAsia="zh-CN" w:bidi="ar-SA"/>
        </w:rPr>
        <w:t xml:space="preserve"> </w:t>
      </w:r>
      <w:r>
        <w:rPr>
          <w:rFonts w:hint="eastAsia" w:ascii="黑体" w:hAnsi="黑体" w:eastAsia="黑体" w:cs="黑体"/>
          <w:b w:val="0"/>
          <w:bCs w:val="0"/>
          <w:i w:val="0"/>
          <w:caps w:val="0"/>
          <w:color w:val="000000"/>
          <w:spacing w:val="0"/>
          <w:kern w:val="0"/>
          <w:sz w:val="28"/>
          <w:szCs w:val="28"/>
          <w:shd w:val="clear" w:color="auto" w:fill="FFFFFF"/>
          <w:lang w:val="en-US" w:eastAsia="zh-CN" w:bidi="ar-SA"/>
        </w:rPr>
        <w:t>经审查，你单位于</w:t>
      </w:r>
      <w:r>
        <w:rPr>
          <w:rFonts w:hint="eastAsia" w:ascii="仿宋" w:hAnsi="仿宋" w:eastAsia="仿宋" w:cs="仿宋"/>
          <w:b w:val="0"/>
          <w:bCs w:val="0"/>
          <w:i w:val="0"/>
          <w:caps w:val="0"/>
          <w:color w:val="000000"/>
          <w:spacing w:val="15"/>
          <w:kern w:val="0"/>
          <w:sz w:val="28"/>
          <w:szCs w:val="28"/>
          <w:u w:val="single" w:color="auto"/>
          <w:shd w:val="clear" w:color="auto" w:fill="FFFFFF"/>
          <w:lang w:val="en-US" w:eastAsia="zh-CN"/>
        </w:rPr>
        <w:t>20XX</w:t>
      </w:r>
      <w:r>
        <w:rPr>
          <w:rFonts w:hint="eastAsia" w:ascii="仿宋" w:hAnsi="仿宋" w:eastAsia="仿宋" w:cs="仿宋"/>
          <w:b w:val="0"/>
          <w:bCs w:val="0"/>
          <w:i w:val="0"/>
          <w:caps w:val="0"/>
          <w:color w:val="000000"/>
          <w:spacing w:val="0"/>
          <w:kern w:val="0"/>
          <w:sz w:val="28"/>
          <w:szCs w:val="28"/>
          <w:shd w:val="clear" w:color="auto" w:fill="FFFFFF"/>
          <w:lang w:val="en-US" w:eastAsia="zh-CN" w:bidi="ar-SA"/>
        </w:rPr>
        <w:t>年</w:t>
      </w:r>
      <w:r>
        <w:rPr>
          <w:rFonts w:hint="eastAsia" w:ascii="仿宋" w:hAnsi="仿宋" w:eastAsia="仿宋" w:cs="仿宋"/>
          <w:b w:val="0"/>
          <w:bCs w:val="0"/>
          <w:i w:val="0"/>
          <w:caps w:val="0"/>
          <w:color w:val="000000"/>
          <w:spacing w:val="0"/>
          <w:kern w:val="0"/>
          <w:sz w:val="28"/>
          <w:szCs w:val="28"/>
          <w:u w:val="single"/>
          <w:shd w:val="clear" w:color="auto" w:fill="FFFFFF"/>
          <w:lang w:val="en-US" w:eastAsia="zh-CN" w:bidi="ar-SA"/>
        </w:rPr>
        <w:t>XX</w:t>
      </w:r>
      <w:r>
        <w:rPr>
          <w:rFonts w:hint="eastAsia" w:ascii="仿宋" w:hAnsi="仿宋" w:eastAsia="仿宋" w:cs="仿宋"/>
          <w:b w:val="0"/>
          <w:bCs w:val="0"/>
          <w:i w:val="0"/>
          <w:caps w:val="0"/>
          <w:color w:val="000000"/>
          <w:spacing w:val="0"/>
          <w:kern w:val="0"/>
          <w:sz w:val="28"/>
          <w:szCs w:val="28"/>
          <w:shd w:val="clear" w:color="auto" w:fill="FFFFFF"/>
          <w:lang w:val="en-US" w:eastAsia="zh-CN" w:bidi="ar-SA"/>
        </w:rPr>
        <w:t>月</w:t>
      </w:r>
      <w:r>
        <w:rPr>
          <w:rFonts w:hint="eastAsia" w:ascii="仿宋" w:hAnsi="仿宋" w:eastAsia="仿宋" w:cs="仿宋"/>
          <w:b w:val="0"/>
          <w:bCs w:val="0"/>
          <w:i w:val="0"/>
          <w:caps w:val="0"/>
          <w:color w:val="000000"/>
          <w:spacing w:val="0"/>
          <w:kern w:val="0"/>
          <w:sz w:val="28"/>
          <w:szCs w:val="28"/>
          <w:u w:val="single"/>
          <w:shd w:val="clear" w:color="auto" w:fill="FFFFFF"/>
          <w:lang w:val="en-US" w:eastAsia="zh-CN" w:bidi="ar-SA"/>
        </w:rPr>
        <w:t>XX</w:t>
      </w:r>
      <w:r>
        <w:rPr>
          <w:rFonts w:hint="eastAsia" w:ascii="黑体" w:hAnsi="黑体" w:eastAsia="黑体" w:cs="黑体"/>
          <w:b w:val="0"/>
          <w:bCs w:val="0"/>
          <w:i w:val="0"/>
          <w:caps w:val="0"/>
          <w:color w:val="000000"/>
          <w:spacing w:val="0"/>
          <w:kern w:val="0"/>
          <w:sz w:val="28"/>
          <w:szCs w:val="28"/>
          <w:shd w:val="clear" w:color="auto" w:fill="FFFFFF"/>
          <w:lang w:val="en-US" w:eastAsia="zh-CN" w:bidi="ar-SA"/>
        </w:rPr>
        <w:t>日向本行政机关提出的</w:t>
      </w:r>
      <w:r>
        <w:rPr>
          <w:rFonts w:hint="eastAsia" w:ascii="仿宋" w:hAnsi="仿宋" w:eastAsia="仿宋" w:cs="仿宋"/>
          <w:b w:val="0"/>
          <w:bCs w:val="0"/>
          <w:i w:val="0"/>
          <w:iCs w:val="0"/>
          <w:caps w:val="0"/>
          <w:color w:val="444444"/>
          <w:spacing w:val="0"/>
          <w:kern w:val="0"/>
          <w:sz w:val="28"/>
          <w:szCs w:val="28"/>
          <w:u w:val="single"/>
          <w:shd w:val="clear" w:color="auto" w:fill="FFFFFF"/>
          <w:lang w:val="en-US" w:eastAsia="zh-CN"/>
        </w:rPr>
        <w:t>XXXX</w:t>
      </w:r>
      <w:r>
        <w:rPr>
          <w:rFonts w:hint="eastAsia" w:ascii="黑体" w:hAnsi="黑体" w:eastAsia="黑体" w:cs="黑体"/>
          <w:b w:val="0"/>
          <w:bCs w:val="0"/>
          <w:i w:val="0"/>
          <w:caps w:val="0"/>
          <w:color w:val="000000"/>
          <w:spacing w:val="0"/>
          <w:kern w:val="0"/>
          <w:sz w:val="28"/>
          <w:szCs w:val="28"/>
          <w:shd w:val="clear" w:color="auto" w:fill="FFFFFF"/>
          <w:lang w:val="en-US" w:eastAsia="zh-CN" w:bidi="ar-SA"/>
        </w:rPr>
        <w:t>申请，不符合</w:t>
      </w:r>
      <w:r>
        <w:rPr>
          <w:rFonts w:hint="eastAsia" w:ascii="仿宋" w:hAnsi="仿宋" w:eastAsia="仿宋" w:cs="仿宋"/>
          <w:b w:val="0"/>
          <w:bCs w:val="0"/>
          <w:i w:val="0"/>
          <w:iCs w:val="0"/>
          <w:caps w:val="0"/>
          <w:color w:val="auto"/>
          <w:spacing w:val="0"/>
          <w:sz w:val="28"/>
          <w:szCs w:val="28"/>
          <w:u w:val="single"/>
          <w:shd w:val="clear" w:color="auto" w:fill="FFFFFF"/>
          <w:lang w:val="en-US" w:eastAsia="zh-CN"/>
        </w:rPr>
        <w:t>《XXXX管理条例》第X条第X款第X项第X目</w:t>
      </w:r>
      <w:r>
        <w:rPr>
          <w:rFonts w:hint="eastAsia" w:ascii="黑体" w:hAnsi="黑体" w:eastAsia="黑体" w:cs="黑体"/>
          <w:b w:val="0"/>
          <w:bCs w:val="0"/>
          <w:i w:val="0"/>
          <w:iCs w:val="0"/>
          <w:caps w:val="0"/>
          <w:color w:val="auto"/>
          <w:spacing w:val="0"/>
          <w:sz w:val="28"/>
          <w:szCs w:val="28"/>
          <w:shd w:val="clear" w:color="auto" w:fill="FFFFFF"/>
          <w:lang w:eastAsia="zh-CN"/>
        </w:rPr>
        <w:t>和</w:t>
      </w:r>
      <w:r>
        <w:rPr>
          <w:rFonts w:hint="eastAsia" w:ascii="仿宋" w:hAnsi="仿宋" w:eastAsia="仿宋" w:cs="仿宋"/>
          <w:b w:val="0"/>
          <w:bCs w:val="0"/>
          <w:i w:val="0"/>
          <w:iCs w:val="0"/>
          <w:caps w:val="0"/>
          <w:color w:val="auto"/>
          <w:spacing w:val="0"/>
          <w:sz w:val="28"/>
          <w:szCs w:val="28"/>
          <w:u w:val="single"/>
          <w:shd w:val="clear" w:color="auto" w:fill="FFFFFF"/>
          <w:lang w:val="en-US" w:eastAsia="zh-CN"/>
        </w:rPr>
        <w:t>《XXXX》第X条第X款第X项第X目</w:t>
      </w:r>
      <w:r>
        <w:rPr>
          <w:rFonts w:hint="eastAsia" w:ascii="黑体" w:hAnsi="黑体" w:eastAsia="黑体" w:cs="黑体"/>
          <w:b w:val="0"/>
          <w:bCs w:val="0"/>
          <w:i w:val="0"/>
          <w:caps w:val="0"/>
          <w:color w:val="000000"/>
          <w:spacing w:val="0"/>
          <w:kern w:val="0"/>
          <w:sz w:val="28"/>
          <w:szCs w:val="28"/>
          <w:shd w:val="clear" w:color="auto" w:fill="FFFFFF"/>
          <w:lang w:val="en-US" w:eastAsia="zh-CN" w:bidi="ar-SA"/>
        </w:rPr>
        <w:t>的规定</w:t>
      </w:r>
      <w:r>
        <w:rPr>
          <w:rFonts w:hint="eastAsia" w:ascii="仿宋" w:hAnsi="仿宋" w:eastAsia="仿宋" w:cs="仿宋"/>
          <w:b w:val="0"/>
          <w:bCs w:val="0"/>
          <w:i w:val="0"/>
          <w:caps w:val="0"/>
          <w:color w:val="000000"/>
          <w:spacing w:val="0"/>
          <w:kern w:val="0"/>
          <w:sz w:val="28"/>
          <w:szCs w:val="28"/>
          <w:shd w:val="clear" w:color="auto" w:fill="FFFFFF"/>
          <w:lang w:val="en-US" w:eastAsia="zh-CN" w:bidi="ar-SA"/>
        </w:rPr>
        <w:t>，</w:t>
      </w:r>
      <w:r>
        <w:rPr>
          <w:rFonts w:hint="eastAsia" w:ascii="黑体" w:hAnsi="黑体" w:eastAsia="黑体" w:cs="黑体"/>
          <w:b w:val="0"/>
          <w:bCs w:val="0"/>
          <w:i w:val="0"/>
          <w:caps w:val="0"/>
          <w:color w:val="000000"/>
          <w:spacing w:val="0"/>
          <w:kern w:val="0"/>
          <w:sz w:val="28"/>
          <w:szCs w:val="28"/>
          <w:shd w:val="clear" w:color="auto" w:fill="FFFFFF"/>
          <w:lang w:val="en-US" w:eastAsia="zh-CN" w:bidi="ar-SA"/>
        </w:rPr>
        <w:t>具体理由如下：</w:t>
      </w:r>
    </w:p>
    <w:p>
      <w:pPr>
        <w:widowControl/>
        <w:numPr>
          <w:ilvl w:val="0"/>
          <w:numId w:val="0"/>
        </w:numPr>
        <w:pBdr>
          <w:top w:val="none" w:color="auto" w:sz="0" w:space="0"/>
          <w:left w:val="none" w:color="auto" w:sz="0" w:space="0"/>
          <w:bottom w:val="none" w:color="auto" w:sz="0" w:space="0"/>
          <w:right w:val="none" w:color="auto" w:sz="0" w:space="0"/>
        </w:pBdr>
        <w:shd w:val="clear" w:color="auto" w:fill="FFFFFF"/>
        <w:wordWrap/>
        <w:adjustRightInd/>
        <w:snapToGrid/>
        <w:spacing w:beforeAutospacing="0" w:afterAutospacing="0" w:line="500" w:lineRule="exact"/>
        <w:ind w:left="560" w:leftChars="0" w:right="0"/>
        <w:jc w:val="left"/>
        <w:textAlignment w:val="auto"/>
        <w:outlineLvl w:val="9"/>
        <w:rPr>
          <w:rFonts w:hint="eastAsia" w:ascii="仿宋" w:hAnsi="仿宋" w:eastAsia="仿宋" w:cs="仿宋"/>
          <w:i w:val="0"/>
          <w:iCs w:val="0"/>
          <w:caps w:val="0"/>
          <w:color w:val="444444"/>
          <w:spacing w:val="0"/>
          <w:kern w:val="0"/>
          <w:sz w:val="28"/>
          <w:szCs w:val="28"/>
          <w:shd w:val="clear" w:color="auto" w:fill="FFFFFF"/>
          <w:lang w:eastAsia="zh-CN"/>
        </w:rPr>
      </w:pPr>
      <w:r>
        <w:rPr>
          <w:rFonts w:hint="eastAsia" w:ascii="仿宋" w:hAnsi="仿宋" w:eastAsia="仿宋" w:cs="仿宋"/>
          <w:i w:val="0"/>
          <w:iCs w:val="0"/>
          <w:caps w:val="0"/>
          <w:color w:val="444444"/>
          <w:spacing w:val="0"/>
          <w:kern w:val="0"/>
          <w:sz w:val="28"/>
          <w:szCs w:val="28"/>
          <w:shd w:val="clear" w:color="auto" w:fill="FFFFFF"/>
          <w:lang w:val="en-US" w:eastAsia="zh-CN"/>
        </w:rPr>
        <w:t>1.XXXX；2.XXXX；3.XXXX......。</w:t>
      </w:r>
    </w:p>
    <w:p>
      <w:pPr>
        <w:widowControl/>
        <w:wordWrap/>
        <w:adjustRightInd/>
        <w:snapToGrid/>
        <w:spacing w:line="500" w:lineRule="exact"/>
        <w:ind w:right="0"/>
        <w:jc w:val="left"/>
        <w:textAlignment w:val="auto"/>
        <w:rPr>
          <w:rFonts w:hint="eastAsia" w:ascii="微软雅黑" w:hAnsi="微软雅黑" w:eastAsia="微软雅黑" w:cs="微软雅黑"/>
          <w:i w:val="0"/>
          <w:caps w:val="0"/>
          <w:color w:val="000000"/>
          <w:spacing w:val="0"/>
          <w:sz w:val="28"/>
          <w:szCs w:val="28"/>
        </w:rPr>
      </w:pPr>
      <w:r>
        <w:rPr>
          <w:rFonts w:hint="eastAsia" w:ascii="微软雅黑" w:hAnsi="微软雅黑" w:eastAsia="微软雅黑" w:cs="微软雅黑"/>
          <w:i w:val="0"/>
          <w:caps w:val="0"/>
          <w:color w:val="000000"/>
          <w:spacing w:val="0"/>
          <w:kern w:val="0"/>
          <w:sz w:val="28"/>
          <w:szCs w:val="28"/>
          <w:shd w:val="clear" w:color="auto" w:fill="FFFFFF"/>
          <w:lang w:val="en-US" w:eastAsia="zh-CN" w:bidi="ar-SA"/>
        </w:rPr>
        <w:t xml:space="preserve">    根据</w:t>
      </w:r>
      <w:r>
        <w:rPr>
          <w:rFonts w:hint="eastAsia" w:ascii="黑体" w:hAnsi="黑体" w:eastAsia="黑体" w:cs="黑体"/>
          <w:b w:val="0"/>
          <w:bCs w:val="0"/>
          <w:i w:val="0"/>
          <w:caps w:val="0"/>
          <w:color w:val="000000"/>
          <w:spacing w:val="0"/>
          <w:kern w:val="0"/>
          <w:sz w:val="28"/>
          <w:szCs w:val="28"/>
          <w:shd w:val="clear" w:color="auto" w:fill="FFFFFF"/>
          <w:lang w:val="en-US" w:eastAsia="zh-CN" w:bidi="ar-SA"/>
        </w:rPr>
        <w:t>《中华人民共和国行政许可法》</w:t>
      </w:r>
      <w:r>
        <w:rPr>
          <w:rFonts w:hint="eastAsia" w:ascii="仿宋" w:hAnsi="仿宋" w:eastAsia="仿宋" w:cs="仿宋"/>
          <w:b w:val="0"/>
          <w:bCs w:val="0"/>
          <w:i w:val="0"/>
          <w:iCs w:val="0"/>
          <w:caps w:val="0"/>
          <w:color w:val="auto"/>
          <w:spacing w:val="0"/>
          <w:sz w:val="28"/>
          <w:szCs w:val="28"/>
          <w:u w:val="single"/>
          <w:shd w:val="clear" w:color="auto" w:fill="FFFFFF"/>
          <w:lang w:val="en-US" w:eastAsia="zh-CN"/>
        </w:rPr>
        <w:t>第X条第X款第X项第X目</w:t>
      </w:r>
      <w:r>
        <w:rPr>
          <w:rFonts w:hint="eastAsia" w:ascii="微软雅黑" w:hAnsi="微软雅黑" w:eastAsia="微软雅黑" w:cs="微软雅黑"/>
          <w:i w:val="0"/>
          <w:caps w:val="0"/>
          <w:color w:val="auto"/>
          <w:spacing w:val="0"/>
          <w:kern w:val="0"/>
          <w:sz w:val="28"/>
          <w:szCs w:val="28"/>
          <w:shd w:val="clear" w:color="auto" w:fill="FFFFFF"/>
          <w:lang w:val="en-US" w:eastAsia="zh-CN" w:bidi="ar-SA"/>
        </w:rPr>
        <w:t>、</w:t>
      </w:r>
      <w:r>
        <w:rPr>
          <w:rFonts w:hint="eastAsia" w:ascii="仿宋" w:hAnsi="仿宋" w:eastAsia="仿宋" w:cs="仿宋"/>
          <w:b w:val="0"/>
          <w:bCs w:val="0"/>
          <w:i w:val="0"/>
          <w:iCs w:val="0"/>
          <w:caps w:val="0"/>
          <w:color w:val="auto"/>
          <w:spacing w:val="0"/>
          <w:sz w:val="28"/>
          <w:szCs w:val="28"/>
          <w:u w:val="single"/>
          <w:shd w:val="clear" w:color="auto" w:fill="FFFFFF"/>
          <w:lang w:val="en-US" w:eastAsia="zh-CN"/>
        </w:rPr>
        <w:t>《XXXX管理办法》第X条第X款第X项第X目</w:t>
      </w:r>
      <w:r>
        <w:rPr>
          <w:rFonts w:hint="eastAsia" w:ascii="微软雅黑" w:hAnsi="微软雅黑" w:eastAsia="微软雅黑" w:cs="微软雅黑"/>
          <w:i w:val="0"/>
          <w:caps w:val="0"/>
          <w:color w:val="auto"/>
          <w:spacing w:val="0"/>
          <w:kern w:val="0"/>
          <w:sz w:val="28"/>
          <w:szCs w:val="28"/>
          <w:shd w:val="clear" w:color="auto" w:fill="FFFFFF"/>
          <w:lang w:val="en-US" w:eastAsia="zh-CN" w:bidi="ar-SA"/>
        </w:rPr>
        <w:t>、</w:t>
      </w:r>
      <w:r>
        <w:rPr>
          <w:rFonts w:hint="eastAsia" w:ascii="仿宋" w:hAnsi="仿宋" w:eastAsia="仿宋" w:cs="仿宋"/>
          <w:b w:val="0"/>
          <w:bCs w:val="0"/>
          <w:i w:val="0"/>
          <w:iCs w:val="0"/>
          <w:caps w:val="0"/>
          <w:color w:val="auto"/>
          <w:spacing w:val="0"/>
          <w:sz w:val="28"/>
          <w:szCs w:val="28"/>
          <w:u w:val="single"/>
          <w:shd w:val="clear" w:color="auto" w:fill="FFFFFF"/>
          <w:lang w:val="en-US" w:eastAsia="zh-CN"/>
        </w:rPr>
        <w:t>《XXXX》第X条第X款第X项第X目</w:t>
      </w:r>
      <w:r>
        <w:rPr>
          <w:rFonts w:hint="eastAsia" w:ascii="微软雅黑" w:hAnsi="微软雅黑" w:eastAsia="微软雅黑" w:cs="微软雅黑"/>
          <w:i w:val="0"/>
          <w:caps w:val="0"/>
          <w:color w:val="auto"/>
          <w:spacing w:val="0"/>
          <w:kern w:val="0"/>
          <w:sz w:val="28"/>
          <w:szCs w:val="28"/>
          <w:shd w:val="clear" w:color="auto" w:fill="FFFFFF"/>
          <w:lang w:val="en-US" w:eastAsia="zh-CN" w:bidi="ar-SA"/>
        </w:rPr>
        <w:t>的</w:t>
      </w:r>
      <w:r>
        <w:rPr>
          <w:rFonts w:hint="eastAsia" w:ascii="微软雅黑" w:hAnsi="微软雅黑" w:eastAsia="微软雅黑" w:cs="微软雅黑"/>
          <w:i w:val="0"/>
          <w:caps w:val="0"/>
          <w:color w:val="000000"/>
          <w:spacing w:val="0"/>
          <w:kern w:val="0"/>
          <w:sz w:val="28"/>
          <w:szCs w:val="28"/>
          <w:shd w:val="clear" w:color="auto" w:fill="FFFFFF"/>
          <w:lang w:val="en-US" w:eastAsia="zh-CN" w:bidi="ar-SA"/>
        </w:rPr>
        <w:t xml:space="preserve">规定，本行政机关决定你单位提出的 </w:t>
      </w:r>
      <w:r>
        <w:rPr>
          <w:rFonts w:hint="eastAsia" w:ascii="仿宋" w:hAnsi="仿宋" w:eastAsia="仿宋" w:cs="仿宋"/>
          <w:i w:val="0"/>
          <w:iCs w:val="0"/>
          <w:caps w:val="0"/>
          <w:color w:val="444444"/>
          <w:spacing w:val="0"/>
          <w:kern w:val="0"/>
          <w:sz w:val="28"/>
          <w:szCs w:val="28"/>
          <w:u w:val="single"/>
          <w:shd w:val="clear" w:color="auto" w:fill="FFFFFF"/>
          <w:lang w:val="en-US" w:eastAsia="zh-CN"/>
        </w:rPr>
        <w:t>XXXX</w:t>
      </w:r>
      <w:r>
        <w:rPr>
          <w:rFonts w:hint="eastAsia" w:ascii="微软雅黑" w:hAnsi="微软雅黑" w:eastAsia="微软雅黑" w:cs="微软雅黑"/>
          <w:i w:val="0"/>
          <w:caps w:val="0"/>
          <w:color w:val="000000"/>
          <w:spacing w:val="0"/>
          <w:kern w:val="0"/>
          <w:sz w:val="28"/>
          <w:szCs w:val="28"/>
          <w:shd w:val="clear" w:color="auto" w:fill="FFFFFF"/>
          <w:lang w:val="en-US" w:eastAsia="zh-CN" w:bidi="ar-SA"/>
        </w:rPr>
        <w:t>申请</w:t>
      </w:r>
      <w:r>
        <w:rPr>
          <w:rFonts w:hint="default" w:ascii="微软雅黑" w:hAnsi="微软雅黑" w:eastAsia="微软雅黑" w:cs="微软雅黑"/>
          <w:i w:val="0"/>
          <w:caps w:val="0"/>
          <w:color w:val="000000"/>
          <w:spacing w:val="0"/>
          <w:kern w:val="0"/>
          <w:sz w:val="28"/>
          <w:szCs w:val="28"/>
          <w:shd w:val="clear" w:color="auto" w:fill="FFFFFF"/>
          <w:lang w:eastAsia="zh-CN" w:bidi="ar-SA"/>
        </w:rPr>
        <w:t>不予</w:t>
      </w:r>
      <w:r>
        <w:rPr>
          <w:rFonts w:hint="eastAsia" w:ascii="微软雅黑" w:hAnsi="微软雅黑" w:eastAsia="微软雅黑" w:cs="微软雅黑"/>
          <w:i w:val="0"/>
          <w:caps w:val="0"/>
          <w:color w:val="000000"/>
          <w:spacing w:val="0"/>
          <w:kern w:val="0"/>
          <w:sz w:val="28"/>
          <w:szCs w:val="28"/>
          <w:shd w:val="clear" w:color="auto" w:fill="FFFFFF"/>
          <w:lang w:eastAsia="zh-CN" w:bidi="ar-SA"/>
        </w:rPr>
        <w:t>受理</w:t>
      </w:r>
      <w:r>
        <w:rPr>
          <w:rFonts w:hint="eastAsia" w:ascii="微软雅黑" w:hAnsi="微软雅黑" w:eastAsia="微软雅黑" w:cs="微软雅黑"/>
          <w:i w:val="0"/>
          <w:caps w:val="0"/>
          <w:color w:val="000000"/>
          <w:spacing w:val="0"/>
          <w:kern w:val="0"/>
          <w:sz w:val="28"/>
          <w:szCs w:val="28"/>
          <w:shd w:val="clear" w:color="auto" w:fill="FFFFFF"/>
          <w:lang w:val="en-US" w:eastAsia="zh-CN" w:bidi="ar-SA"/>
        </w:rPr>
        <w:t>/许可</w:t>
      </w:r>
      <w:r>
        <w:rPr>
          <w:rFonts w:hint="default" w:ascii="仿宋_GB2312" w:hAnsi="Times New Roman" w:eastAsia="仿宋_GB2312" w:cs="仿宋_GB2312"/>
          <w:i w:val="0"/>
          <w:caps w:val="0"/>
          <w:color w:val="000000"/>
          <w:spacing w:val="15"/>
          <w:kern w:val="0"/>
          <w:sz w:val="28"/>
          <w:szCs w:val="28"/>
          <w:shd w:val="clear" w:color="auto" w:fill="FFFFFF"/>
          <w:lang w:eastAsia="zh-CN"/>
        </w:rPr>
        <w:t>。</w:t>
      </w:r>
    </w:p>
    <w:p>
      <w:pPr>
        <w:widowControl/>
        <w:pBdr>
          <w:top w:val="none" w:color="auto" w:sz="0" w:space="0"/>
          <w:left w:val="none" w:color="auto" w:sz="0" w:space="0"/>
          <w:bottom w:val="none" w:color="auto" w:sz="0" w:space="0"/>
          <w:right w:val="none" w:color="auto" w:sz="0" w:space="0"/>
        </w:pBdr>
        <w:shd w:val="clear" w:color="auto" w:fill="FFFFFF"/>
        <w:wordWrap/>
        <w:adjustRightInd/>
        <w:snapToGrid/>
        <w:spacing w:beforeAutospacing="0" w:afterAutospacing="0" w:line="500" w:lineRule="exact"/>
        <w:ind w:left="0" w:leftChars="0" w:right="0" w:firstLine="660"/>
        <w:jc w:val="left"/>
        <w:textAlignment w:val="auto"/>
        <w:outlineLvl w:val="9"/>
        <w:rPr>
          <w:rFonts w:hint="eastAsia" w:ascii="微软雅黑" w:hAnsi="微软雅黑" w:eastAsia="微软雅黑" w:cs="微软雅黑"/>
          <w:i w:val="0"/>
          <w:caps w:val="0"/>
          <w:color w:val="000000"/>
          <w:spacing w:val="0"/>
          <w:kern w:val="0"/>
          <w:sz w:val="28"/>
          <w:szCs w:val="28"/>
          <w:shd w:val="clear" w:color="auto" w:fill="FFFFFF"/>
          <w:lang w:val="en-US" w:eastAsia="zh-CN" w:bidi="ar-SA"/>
        </w:rPr>
      </w:pPr>
      <w:r>
        <w:rPr>
          <w:rFonts w:hint="eastAsia" w:ascii="微软雅黑" w:hAnsi="微软雅黑" w:eastAsia="微软雅黑" w:cs="微软雅黑"/>
          <w:i w:val="0"/>
          <w:caps w:val="0"/>
          <w:color w:val="000000"/>
          <w:spacing w:val="0"/>
          <w:kern w:val="0"/>
          <w:sz w:val="28"/>
          <w:szCs w:val="28"/>
          <w:shd w:val="clear" w:color="auto" w:fill="FFFFFF"/>
          <w:lang w:val="en-US" w:eastAsia="zh-CN" w:bidi="ar-SA"/>
        </w:rPr>
        <w:t>对本决定不服，可以自接到本通知书之日起</w:t>
      </w:r>
      <w:r>
        <w:rPr>
          <w:rFonts w:hint="eastAsia" w:ascii="微软雅黑" w:hAnsi="微软雅黑" w:eastAsia="微软雅黑" w:cs="微软雅黑"/>
          <w:i w:val="0"/>
          <w:caps w:val="0"/>
          <w:color w:val="000000"/>
          <w:spacing w:val="0"/>
          <w:kern w:val="0"/>
          <w:sz w:val="28"/>
          <w:szCs w:val="28"/>
          <w:u w:val="single" w:color="auto"/>
          <w:shd w:val="clear" w:color="auto" w:fill="FFFFFF"/>
          <w:lang w:val="en-US" w:eastAsia="zh-CN" w:bidi="ar-SA"/>
        </w:rPr>
        <w:t xml:space="preserve"> </w:t>
      </w:r>
      <w:r>
        <w:rPr>
          <w:rFonts w:hint="eastAsia" w:ascii="仿宋_GB2312" w:hAnsi="Times New Roman" w:eastAsia="仿宋_GB2312" w:cs="仿宋_GB2312"/>
          <w:i w:val="0"/>
          <w:caps w:val="0"/>
          <w:color w:val="000000"/>
          <w:spacing w:val="15"/>
          <w:kern w:val="0"/>
          <w:sz w:val="28"/>
          <w:szCs w:val="28"/>
          <w:u w:val="single" w:color="auto"/>
          <w:shd w:val="clear" w:color="auto" w:fill="FFFFFF"/>
          <w:lang w:val="en-US" w:eastAsia="zh-CN"/>
        </w:rPr>
        <w:t>60日内</w:t>
      </w:r>
      <w:r>
        <w:rPr>
          <w:rFonts w:hint="eastAsia" w:ascii="微软雅黑" w:hAnsi="微软雅黑" w:eastAsia="微软雅黑" w:cs="微软雅黑"/>
          <w:i w:val="0"/>
          <w:caps w:val="0"/>
          <w:color w:val="000000"/>
          <w:spacing w:val="0"/>
          <w:kern w:val="0"/>
          <w:sz w:val="28"/>
          <w:szCs w:val="28"/>
          <w:shd w:val="clear" w:color="auto" w:fill="FFFFFF"/>
          <w:lang w:val="en-US" w:eastAsia="zh-CN" w:bidi="ar-SA"/>
        </w:rPr>
        <w:t>，依法向</w:t>
      </w:r>
      <w:r>
        <w:rPr>
          <w:rFonts w:hint="eastAsia" w:ascii="微软雅黑" w:hAnsi="微软雅黑" w:eastAsia="微软雅黑" w:cs="微软雅黑"/>
          <w:i w:val="0"/>
          <w:caps w:val="0"/>
          <w:color w:val="000000"/>
          <w:spacing w:val="0"/>
          <w:kern w:val="0"/>
          <w:sz w:val="28"/>
          <w:szCs w:val="28"/>
          <w:u w:val="single" w:color="auto"/>
          <w:shd w:val="clear" w:color="auto" w:fill="FFFFFF"/>
          <w:lang w:val="en-US" w:eastAsia="zh-CN" w:bidi="ar-SA"/>
        </w:rPr>
        <w:t xml:space="preserve"> </w:t>
      </w:r>
      <w:r>
        <w:rPr>
          <w:rFonts w:hint="eastAsia" w:ascii="仿宋_GB2312" w:hAnsi="Times New Roman" w:eastAsia="仿宋_GB2312" w:cs="仿宋_GB2312"/>
          <w:i w:val="0"/>
          <w:caps w:val="0"/>
          <w:color w:val="000000"/>
          <w:spacing w:val="15"/>
          <w:kern w:val="0"/>
          <w:sz w:val="28"/>
          <w:szCs w:val="28"/>
          <w:u w:val="single" w:color="auto"/>
          <w:shd w:val="clear" w:color="auto" w:fill="FFFFFF"/>
          <w:lang w:val="en-US" w:eastAsia="zh-CN"/>
        </w:rPr>
        <w:t xml:space="preserve">甘肃省人民政府 </w:t>
      </w:r>
      <w:r>
        <w:rPr>
          <w:rFonts w:hint="eastAsia" w:ascii="微软雅黑" w:hAnsi="微软雅黑" w:eastAsia="微软雅黑" w:cs="微软雅黑"/>
          <w:i w:val="0"/>
          <w:caps w:val="0"/>
          <w:color w:val="000000"/>
          <w:spacing w:val="0"/>
          <w:kern w:val="0"/>
          <w:sz w:val="28"/>
          <w:szCs w:val="28"/>
          <w:shd w:val="clear" w:color="auto" w:fill="FFFFFF"/>
          <w:lang w:val="en-US" w:eastAsia="zh-CN" w:bidi="ar-SA"/>
        </w:rPr>
        <w:t>申请行政复议，也可以在</w:t>
      </w:r>
      <w:r>
        <w:rPr>
          <w:rFonts w:hint="eastAsia" w:ascii="微软雅黑" w:hAnsi="微软雅黑" w:eastAsia="微软雅黑" w:cs="微软雅黑"/>
          <w:i w:val="0"/>
          <w:caps w:val="0"/>
          <w:color w:val="000000"/>
          <w:spacing w:val="0"/>
          <w:kern w:val="0"/>
          <w:sz w:val="28"/>
          <w:szCs w:val="28"/>
          <w:u w:val="single" w:color="auto"/>
          <w:shd w:val="clear" w:color="auto" w:fill="FFFFFF"/>
          <w:lang w:val="en-US" w:eastAsia="zh-CN" w:bidi="ar-SA"/>
        </w:rPr>
        <w:t xml:space="preserve"> </w:t>
      </w:r>
      <w:r>
        <w:rPr>
          <w:rFonts w:hint="eastAsia" w:ascii="仿宋_GB2312" w:hAnsi="Times New Roman" w:eastAsia="仿宋_GB2312" w:cs="仿宋_GB2312"/>
          <w:i w:val="0"/>
          <w:caps w:val="0"/>
          <w:color w:val="000000"/>
          <w:spacing w:val="15"/>
          <w:kern w:val="0"/>
          <w:sz w:val="28"/>
          <w:szCs w:val="28"/>
          <w:u w:val="single" w:color="auto"/>
          <w:shd w:val="clear" w:color="auto" w:fill="FFFFFF"/>
          <w:lang w:val="en-US" w:eastAsia="zh-CN"/>
        </w:rPr>
        <w:t xml:space="preserve">6个月内 </w:t>
      </w:r>
      <w:r>
        <w:rPr>
          <w:rFonts w:hint="eastAsia" w:ascii="微软雅黑" w:hAnsi="微软雅黑" w:eastAsia="微软雅黑" w:cs="微软雅黑"/>
          <w:i w:val="0"/>
          <w:caps w:val="0"/>
          <w:color w:val="000000"/>
          <w:spacing w:val="0"/>
          <w:kern w:val="0"/>
          <w:sz w:val="28"/>
          <w:szCs w:val="28"/>
          <w:shd w:val="clear" w:color="auto" w:fill="FFFFFF"/>
          <w:lang w:val="en-US" w:eastAsia="zh-CN" w:bidi="ar-SA"/>
        </w:rPr>
        <w:t>依法向</w:t>
      </w:r>
      <w:r>
        <w:rPr>
          <w:rFonts w:hint="eastAsia" w:ascii="仿宋_GB2312" w:hAnsi="Times New Roman" w:eastAsia="仿宋_GB2312" w:cs="仿宋_GB2312"/>
          <w:i w:val="0"/>
          <w:caps w:val="0"/>
          <w:color w:val="000000"/>
          <w:spacing w:val="15"/>
          <w:kern w:val="0"/>
          <w:sz w:val="28"/>
          <w:szCs w:val="28"/>
          <w:u w:val="single" w:color="auto"/>
          <w:shd w:val="clear" w:color="auto" w:fill="FFFFFF"/>
          <w:lang w:val="en-US" w:eastAsia="zh-CN"/>
        </w:rPr>
        <w:t xml:space="preserve"> </w:t>
      </w:r>
      <w:r>
        <w:rPr>
          <w:rFonts w:hint="eastAsia" w:ascii="仿宋_GB2312" w:hAnsi="Times New Roman" w:eastAsia="仿宋_GB2312" w:cs="仿宋_GB2312"/>
          <w:i w:val="0"/>
          <w:caps w:val="0"/>
          <w:color w:val="FF0000"/>
          <w:spacing w:val="15"/>
          <w:kern w:val="0"/>
          <w:sz w:val="28"/>
          <w:szCs w:val="28"/>
          <w:u w:val="single" w:color="auto"/>
          <w:shd w:val="clear" w:color="auto" w:fill="FFFFFF"/>
          <w:lang w:val="en-US" w:eastAsia="zh-CN"/>
        </w:rPr>
        <w:t>甘肃省兰州市中级人民法院</w:t>
      </w:r>
      <w:r>
        <w:rPr>
          <w:rFonts w:hint="eastAsia" w:ascii="仿宋_GB2312" w:hAnsi="Times New Roman" w:eastAsia="仿宋_GB2312" w:cs="仿宋_GB2312"/>
          <w:i w:val="0"/>
          <w:caps w:val="0"/>
          <w:color w:val="000000"/>
          <w:spacing w:val="15"/>
          <w:kern w:val="0"/>
          <w:sz w:val="28"/>
          <w:szCs w:val="28"/>
          <w:u w:val="single" w:color="auto"/>
          <w:shd w:val="clear" w:color="auto" w:fill="FFFFFF"/>
          <w:lang w:val="en-US" w:eastAsia="zh-CN"/>
        </w:rPr>
        <w:t xml:space="preserve"> </w:t>
      </w:r>
      <w:r>
        <w:rPr>
          <w:rFonts w:hint="eastAsia" w:ascii="微软雅黑" w:hAnsi="微软雅黑" w:eastAsia="微软雅黑" w:cs="微软雅黑"/>
          <w:i w:val="0"/>
          <w:caps w:val="0"/>
          <w:color w:val="000000"/>
          <w:spacing w:val="0"/>
          <w:kern w:val="0"/>
          <w:sz w:val="28"/>
          <w:szCs w:val="28"/>
          <w:shd w:val="clear" w:color="auto" w:fill="FFFFFF"/>
          <w:lang w:val="en-US" w:eastAsia="zh-CN" w:bidi="ar-SA"/>
        </w:rPr>
        <w:t>提起行政诉讼。</w:t>
      </w:r>
    </w:p>
    <w:p>
      <w:pPr>
        <w:widowControl/>
        <w:pBdr>
          <w:top w:val="none" w:color="auto" w:sz="0" w:space="0"/>
          <w:left w:val="none" w:color="auto" w:sz="0" w:space="0"/>
          <w:bottom w:val="none" w:color="auto" w:sz="0" w:space="0"/>
          <w:right w:val="none" w:color="auto" w:sz="0" w:space="0"/>
        </w:pBdr>
        <w:shd w:val="clear" w:color="auto" w:fill="FFFFFF"/>
        <w:wordWrap/>
        <w:adjustRightInd/>
        <w:snapToGrid/>
        <w:spacing w:beforeAutospacing="0" w:afterAutospacing="0" w:line="500" w:lineRule="exact"/>
        <w:ind w:right="0"/>
        <w:jc w:val="left"/>
        <w:textAlignment w:val="auto"/>
        <w:outlineLvl w:val="9"/>
        <w:rPr>
          <w:rFonts w:hint="eastAsia" w:ascii="微软雅黑" w:hAnsi="微软雅黑" w:eastAsia="微软雅黑" w:cs="微软雅黑"/>
          <w:i w:val="0"/>
          <w:caps w:val="0"/>
          <w:color w:val="000000"/>
          <w:spacing w:val="0"/>
          <w:kern w:val="0"/>
          <w:sz w:val="28"/>
          <w:szCs w:val="28"/>
          <w:shd w:val="clear" w:color="auto" w:fill="FFFFFF"/>
          <w:lang w:val="en-US" w:eastAsia="zh-CN" w:bidi="ar-SA"/>
        </w:rPr>
      </w:pPr>
    </w:p>
    <w:p>
      <w:pPr>
        <w:widowControl/>
        <w:pBdr>
          <w:top w:val="none" w:color="auto" w:sz="0" w:space="0"/>
          <w:left w:val="none" w:color="auto" w:sz="0" w:space="0"/>
          <w:bottom w:val="none" w:color="auto" w:sz="0" w:space="0"/>
          <w:right w:val="none" w:color="auto" w:sz="0" w:space="0"/>
        </w:pBdr>
        <w:shd w:val="clear" w:color="auto" w:fill="FFFFFF"/>
        <w:wordWrap/>
        <w:adjustRightInd/>
        <w:snapToGrid/>
        <w:spacing w:beforeAutospacing="0" w:afterAutospacing="0" w:line="500" w:lineRule="exact"/>
        <w:ind w:right="0"/>
        <w:jc w:val="left"/>
        <w:textAlignment w:val="auto"/>
        <w:outlineLvl w:val="9"/>
        <w:rPr>
          <w:rFonts w:hint="eastAsia" w:ascii="微软雅黑" w:hAnsi="微软雅黑" w:eastAsia="微软雅黑" w:cs="微软雅黑"/>
          <w:i w:val="0"/>
          <w:caps w:val="0"/>
          <w:color w:val="000000"/>
          <w:spacing w:val="0"/>
          <w:kern w:val="0"/>
          <w:sz w:val="28"/>
          <w:szCs w:val="28"/>
          <w:shd w:val="clear" w:color="auto" w:fill="FFFFFF"/>
          <w:lang w:val="en-US" w:eastAsia="zh-CN" w:bidi="ar-SA"/>
        </w:rPr>
      </w:pPr>
    </w:p>
    <w:p>
      <w:pPr>
        <w:widowControl/>
        <w:pBdr>
          <w:top w:val="none" w:color="auto" w:sz="0" w:space="0"/>
          <w:left w:val="none" w:color="auto" w:sz="0" w:space="0"/>
          <w:bottom w:val="none" w:color="auto" w:sz="0" w:space="0"/>
          <w:right w:val="none" w:color="auto" w:sz="0" w:space="0"/>
        </w:pBdr>
        <w:shd w:val="clear" w:color="auto" w:fill="FFFFFF"/>
        <w:wordWrap/>
        <w:adjustRightInd/>
        <w:snapToGrid/>
        <w:spacing w:beforeAutospacing="0" w:afterAutospacing="0" w:line="500" w:lineRule="exact"/>
        <w:ind w:left="0" w:leftChars="0" w:right="0" w:firstLine="660"/>
        <w:jc w:val="left"/>
        <w:textAlignment w:val="auto"/>
        <w:outlineLvl w:val="9"/>
        <w:rPr>
          <w:rFonts w:hint="eastAsia" w:ascii="微软雅黑" w:hAnsi="微软雅黑" w:eastAsia="微软雅黑" w:cs="微软雅黑"/>
          <w:i w:val="0"/>
          <w:caps w:val="0"/>
          <w:color w:val="000000"/>
          <w:spacing w:val="0"/>
          <w:kern w:val="0"/>
          <w:sz w:val="28"/>
          <w:szCs w:val="28"/>
          <w:shd w:val="clear" w:color="auto" w:fill="FFFFFF"/>
          <w:lang w:val="en-US" w:eastAsia="zh-CN" w:bidi="ar-SA"/>
        </w:rPr>
      </w:pPr>
      <w:r>
        <w:rPr>
          <w:rFonts w:hint="eastAsia" w:ascii="仿宋_GB2312" w:hAnsi="Times New Roman" w:eastAsia="仿宋_GB2312" w:cs="仿宋_GB2312"/>
          <w:i w:val="0"/>
          <w:caps w:val="0"/>
          <w:color w:val="000000"/>
          <w:spacing w:val="15"/>
          <w:kern w:val="0"/>
          <w:sz w:val="28"/>
          <w:szCs w:val="28"/>
          <w:shd w:val="clear" w:color="auto" w:fill="FFFFFF"/>
          <w:lang w:val="en-US" w:eastAsia="zh-CN"/>
        </w:rPr>
        <w:t xml:space="preserve">                       </w:t>
      </w:r>
      <w:r>
        <w:rPr>
          <w:rFonts w:hint="default" w:ascii="微软雅黑" w:hAnsi="微软雅黑" w:eastAsia="微软雅黑" w:cs="微软雅黑"/>
          <w:i w:val="0"/>
          <w:caps w:val="0"/>
          <w:color w:val="000000"/>
          <w:spacing w:val="0"/>
          <w:kern w:val="0"/>
          <w:sz w:val="28"/>
          <w:szCs w:val="28"/>
          <w:shd w:val="clear" w:color="auto" w:fill="FFFFFF"/>
          <w:lang w:eastAsia="zh-CN" w:bidi="ar-SA"/>
        </w:rPr>
        <w:t>甘肃省药品监督管理局</w:t>
      </w:r>
      <w:r>
        <w:rPr>
          <w:rFonts w:hint="eastAsia" w:ascii="微软雅黑" w:hAnsi="微软雅黑" w:eastAsia="微软雅黑" w:cs="微软雅黑"/>
          <w:i w:val="0"/>
          <w:caps w:val="0"/>
          <w:color w:val="000000"/>
          <w:spacing w:val="0"/>
          <w:kern w:val="0"/>
          <w:sz w:val="28"/>
          <w:szCs w:val="28"/>
          <w:shd w:val="clear" w:color="auto" w:fill="FFFFFF"/>
          <w:lang w:val="en-US" w:eastAsia="zh-CN" w:bidi="ar-SA"/>
        </w:rPr>
        <w:t xml:space="preserve">     </w:t>
      </w:r>
    </w:p>
    <w:p>
      <w:pPr>
        <w:widowControl/>
        <w:pBdr>
          <w:top w:val="none" w:color="auto" w:sz="0" w:space="0"/>
          <w:left w:val="none" w:color="auto" w:sz="0" w:space="0"/>
          <w:bottom w:val="none" w:color="auto" w:sz="0" w:space="0"/>
          <w:right w:val="none" w:color="auto" w:sz="0" w:space="0"/>
        </w:pBdr>
        <w:shd w:val="clear" w:color="auto" w:fill="FFFFFF"/>
        <w:wordWrap/>
        <w:adjustRightInd/>
        <w:snapToGrid/>
        <w:spacing w:beforeAutospacing="0" w:afterAutospacing="0" w:line="500" w:lineRule="exact"/>
        <w:ind w:left="0" w:leftChars="0" w:right="0" w:firstLine="660"/>
        <w:jc w:val="left"/>
        <w:textAlignment w:val="auto"/>
        <w:outlineLvl w:val="9"/>
        <w:rPr>
          <w:rFonts w:hint="eastAsia" w:ascii="微软雅黑" w:hAnsi="微软雅黑" w:eastAsia="微软雅黑" w:cs="微软雅黑"/>
          <w:i w:val="0"/>
          <w:caps w:val="0"/>
          <w:color w:val="000000"/>
          <w:spacing w:val="0"/>
          <w:kern w:val="0"/>
          <w:sz w:val="28"/>
          <w:szCs w:val="28"/>
          <w:shd w:val="clear" w:color="auto" w:fill="FFFFFF"/>
          <w:lang w:val="en-US" w:eastAsia="zh-CN" w:bidi="ar-SA"/>
        </w:rPr>
      </w:pPr>
      <w:r>
        <w:rPr>
          <w:rFonts w:hint="eastAsia" w:ascii="微软雅黑" w:hAnsi="微软雅黑" w:eastAsia="微软雅黑" w:cs="微软雅黑"/>
          <w:i w:val="0"/>
          <w:caps w:val="0"/>
          <w:color w:val="000000"/>
          <w:spacing w:val="0"/>
          <w:kern w:val="0"/>
          <w:sz w:val="28"/>
          <w:szCs w:val="28"/>
          <w:shd w:val="clear" w:color="auto" w:fill="FFFFFF"/>
          <w:lang w:val="en-US" w:eastAsia="zh-CN" w:bidi="ar-SA"/>
        </w:rPr>
        <w:t xml:space="preserve">                            20XX年XX月XX日</w:t>
      </w:r>
    </w:p>
    <w:p>
      <w:pPr>
        <w:widowControl/>
        <w:pBdr>
          <w:top w:val="none" w:color="auto" w:sz="0" w:space="0"/>
          <w:left w:val="none" w:color="auto" w:sz="0" w:space="0"/>
          <w:bottom w:val="none" w:color="auto" w:sz="0" w:space="0"/>
          <w:right w:val="none" w:color="auto" w:sz="0" w:space="0"/>
        </w:pBdr>
        <w:shd w:val="clear" w:color="auto" w:fill="FFFFFF"/>
        <w:wordWrap/>
        <w:adjustRightInd/>
        <w:snapToGrid/>
        <w:spacing w:beforeAutospacing="0" w:afterAutospacing="0" w:line="500" w:lineRule="exact"/>
        <w:ind w:left="0" w:leftChars="0" w:right="0" w:firstLine="0" w:firstLineChars="0"/>
        <w:jc w:val="left"/>
        <w:textAlignment w:val="auto"/>
        <w:outlineLvl w:val="9"/>
        <w:rPr>
          <w:rFonts w:hint="eastAsia" w:ascii="微软雅黑" w:hAnsi="微软雅黑" w:eastAsia="微软雅黑" w:cs="微软雅黑"/>
          <w:i w:val="0"/>
          <w:caps w:val="0"/>
          <w:color w:val="000000"/>
          <w:spacing w:val="0"/>
          <w:kern w:val="0"/>
          <w:sz w:val="28"/>
          <w:szCs w:val="28"/>
          <w:shd w:val="clear" w:color="auto" w:fill="FFFFFF"/>
          <w:lang w:val="en-US" w:eastAsia="zh-CN" w:bidi="ar-SA"/>
        </w:rPr>
      </w:pPr>
      <w:r>
        <w:rPr>
          <w:rFonts w:hint="eastAsia" w:ascii="微软雅黑" w:hAnsi="微软雅黑" w:eastAsia="微软雅黑" w:cs="微软雅黑"/>
          <w:i w:val="0"/>
          <w:caps w:val="0"/>
          <w:color w:val="000000"/>
          <w:spacing w:val="0"/>
          <w:kern w:val="0"/>
          <w:sz w:val="28"/>
          <w:szCs w:val="28"/>
          <w:shd w:val="clear" w:color="auto" w:fill="FFFFFF"/>
          <w:lang w:val="en-US" w:eastAsia="zh-CN" w:bidi="ar-SA"/>
        </w:rPr>
        <w:t>注：本决定书一式两份，申请人、决定机关各存一份。</w:t>
      </w:r>
    </w:p>
    <w:p>
      <w:pPr>
        <w:widowControl/>
        <w:pBdr>
          <w:top w:val="none" w:color="auto" w:sz="0" w:space="0"/>
          <w:left w:val="none" w:color="auto" w:sz="0" w:space="0"/>
          <w:bottom w:val="none" w:color="auto" w:sz="0" w:space="0"/>
          <w:right w:val="none" w:color="auto" w:sz="0" w:space="0"/>
        </w:pBdr>
        <w:shd w:val="clear" w:color="auto" w:fill="FFFFFF"/>
        <w:wordWrap/>
        <w:adjustRightInd/>
        <w:snapToGrid/>
        <w:spacing w:beforeAutospacing="0" w:afterAutospacing="0" w:line="500" w:lineRule="exact"/>
        <w:ind w:left="0" w:leftChars="0" w:right="0" w:firstLine="0" w:firstLineChars="0"/>
        <w:jc w:val="left"/>
        <w:textAlignment w:val="auto"/>
        <w:outlineLvl w:val="9"/>
        <w:rPr>
          <w:rFonts w:hint="default" w:ascii="微软雅黑" w:hAnsi="微软雅黑" w:eastAsia="微软雅黑" w:cs="微软雅黑"/>
          <w:i w:val="0"/>
          <w:caps w:val="0"/>
          <w:color w:val="000000"/>
          <w:spacing w:val="0"/>
          <w:kern w:val="0"/>
          <w:sz w:val="28"/>
          <w:szCs w:val="28"/>
          <w:shd w:val="clear" w:color="auto" w:fill="FFFFFF"/>
          <w:lang w:val="en-US" w:eastAsia="zh-CN" w:bidi="ar-SA"/>
        </w:rPr>
      </w:pPr>
    </w:p>
    <w:p>
      <w:pPr>
        <w:widowControl/>
        <w:pBdr>
          <w:top w:val="none" w:color="auto" w:sz="0" w:space="0"/>
          <w:left w:val="none" w:color="auto" w:sz="0" w:space="0"/>
          <w:bottom w:val="none" w:color="auto" w:sz="0" w:space="0"/>
          <w:right w:val="none" w:color="auto" w:sz="0" w:space="0"/>
        </w:pBdr>
        <w:shd w:val="clear" w:color="auto" w:fill="FFFFFF"/>
        <w:wordWrap/>
        <w:adjustRightInd/>
        <w:snapToGrid/>
        <w:spacing w:beforeAutospacing="0" w:afterAutospacing="0" w:line="500" w:lineRule="exact"/>
        <w:ind w:left="0" w:leftChars="0" w:right="0" w:firstLine="0" w:firstLineChars="0"/>
        <w:jc w:val="left"/>
        <w:textAlignment w:val="auto"/>
        <w:outlineLvl w:val="9"/>
        <w:rPr>
          <w:rFonts w:hint="default" w:ascii="微软雅黑" w:hAnsi="微软雅黑" w:eastAsia="微软雅黑" w:cs="微软雅黑"/>
          <w:i w:val="0"/>
          <w:caps w:val="0"/>
          <w:color w:val="000000"/>
          <w:spacing w:val="0"/>
          <w:kern w:val="0"/>
          <w:sz w:val="28"/>
          <w:szCs w:val="28"/>
          <w:shd w:val="clear" w:color="auto" w:fill="FFFFFF"/>
          <w:lang w:val="en-US" w:eastAsia="zh-CN" w:bidi="ar-SA"/>
        </w:rPr>
      </w:pPr>
    </w:p>
    <w:p>
      <w:pPr>
        <w:widowControl/>
        <w:wordWrap/>
        <w:adjustRightInd/>
        <w:snapToGrid/>
        <w:spacing w:line="560" w:lineRule="exact"/>
        <w:ind w:left="0" w:leftChars="0" w:right="0" w:firstLine="0" w:firstLine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附件2：</w:t>
      </w:r>
    </w:p>
    <w:p>
      <w:pPr>
        <w:widowControl/>
        <w:wordWrap/>
        <w:adjustRightInd/>
        <w:snapToGrid/>
        <w:spacing w:line="560" w:lineRule="exact"/>
        <w:ind w:left="0" w:leftChars="0" w:right="0" w:firstLine="0" w:firstLine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甘肃省药品监督管理局</w:t>
      </w:r>
    </w:p>
    <w:p>
      <w:pPr>
        <w:widowControl/>
        <w:wordWrap/>
        <w:adjustRightInd/>
        <w:snapToGrid/>
        <w:spacing w:line="560" w:lineRule="exact"/>
        <w:ind w:left="0" w:leftChars="0" w:right="0" w:firstLine="0" w:firstLineChars="0"/>
        <w:jc w:val="center"/>
        <w:textAlignment w:val="auto"/>
        <w:outlineLvl w:val="9"/>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val="0"/>
          <w:bCs w:val="0"/>
          <w:sz w:val="44"/>
          <w:szCs w:val="44"/>
          <w:lang w:val="en-US" w:eastAsia="zh-CN"/>
        </w:rPr>
        <w:t>行政许可廉政风险防控规定</w:t>
      </w:r>
    </w:p>
    <w:p>
      <w:pPr>
        <w:widowControl/>
        <w:wordWrap/>
        <w:adjustRightInd/>
        <w:snapToGrid/>
        <w:spacing w:line="560" w:lineRule="exact"/>
        <w:ind w:left="0" w:leftChars="0" w:right="0" w:firstLine="0" w:firstLineChars="0"/>
        <w:jc w:val="center"/>
        <w:textAlignment w:val="auto"/>
        <w:outlineLvl w:val="9"/>
        <w:rPr>
          <w:rFonts w:hint="eastAsia" w:ascii="仿宋" w:hAnsi="仿宋" w:eastAsia="仿宋" w:cs="仿宋"/>
          <w:sz w:val="32"/>
          <w:szCs w:val="32"/>
          <w:lang w:val="en-US" w:eastAsia="zh-CN"/>
        </w:rPr>
      </w:pPr>
    </w:p>
    <w:p>
      <w:pPr>
        <w:widowControl/>
        <w:wordWrap/>
        <w:adjustRightInd/>
        <w:snapToGrid/>
        <w:spacing w:beforeAutospacing="0" w:afterAutospacing="0" w:line="360" w:lineRule="auto"/>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为有效防范和化解行政许可过程中的廉政风险，保障行政许可依法、规范、公正、廉洁实施，依据《甘肃省药品监督管理局行政许可管理办法》及相关法律法规，制定本规定。   </w:t>
      </w:r>
    </w:p>
    <w:p>
      <w:pPr>
        <w:widowControl/>
        <w:wordWrap/>
        <w:adjustRightInd/>
        <w:snapToGrid/>
        <w:spacing w:beforeAutospacing="0" w:afterAutospacing="0" w:line="360" w:lineRule="auto"/>
        <w:ind w:left="0" w:leftChars="0" w:right="0" w:firstLine="640" w:firstLineChars="200"/>
        <w:jc w:val="both"/>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一、总体要求</w:t>
      </w:r>
    </w:p>
    <w:p>
      <w:pPr>
        <w:widowControl/>
        <w:wordWrap/>
        <w:adjustRightInd/>
        <w:snapToGrid/>
        <w:spacing w:beforeAutospacing="0" w:afterAutospacing="0" w:line="360" w:lineRule="auto"/>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遵循“预防为主、防控结合、全程覆盖、责任到人”的原则，旨在建立涵盖风险识别、预警、处置的闭环防控机制。防控工作贯穿行政许可受理、审评、审批、送达等各环节，明确各岗位廉政责任，推行“一岗双责”，并积极运用信息化手段压缩自由裁量空间，减少人为干预风险。    </w:t>
      </w:r>
    </w:p>
    <w:p>
      <w:pPr>
        <w:widowControl/>
        <w:wordWrap/>
        <w:adjustRightInd/>
        <w:snapToGrid/>
        <w:spacing w:beforeAutospacing="0" w:afterAutospacing="0" w:line="360" w:lineRule="auto"/>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黑体" w:hAnsi="黑体" w:eastAsia="黑体" w:cs="黑体"/>
          <w:b w:val="0"/>
          <w:bCs w:val="0"/>
          <w:sz w:val="32"/>
          <w:szCs w:val="32"/>
          <w:lang w:val="en-US" w:eastAsia="zh-CN"/>
        </w:rPr>
        <w:t>二、风险点识别与防控措施</w:t>
      </w:r>
      <w:r>
        <w:rPr>
          <w:rFonts w:hint="eastAsia" w:ascii="仿宋" w:hAnsi="仿宋" w:eastAsia="仿宋" w:cs="仿宋"/>
          <w:sz w:val="32"/>
          <w:szCs w:val="32"/>
          <w:lang w:val="en-US" w:eastAsia="zh-CN"/>
        </w:rPr>
        <w:t xml:space="preserve"> </w:t>
      </w:r>
    </w:p>
    <w:p>
      <w:pPr>
        <w:widowControl/>
        <w:wordWrap/>
        <w:adjustRightInd/>
        <w:snapToGrid/>
        <w:spacing w:beforeAutospacing="0" w:afterAutospacing="0" w:line="360" w:lineRule="auto"/>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（一）受理环节</w:t>
      </w:r>
    </w:p>
    <w:p>
      <w:pPr>
        <w:widowControl/>
        <w:wordWrap/>
        <w:adjustRightInd/>
        <w:snapToGrid/>
        <w:spacing w:beforeAutospacing="0" w:afterAutospacing="0" w:line="360" w:lineRule="auto"/>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1.主要风险点：无正当理由推诿或拒绝受理；故意拖延受理时间；违反规定指导申请人补正材料。</w:t>
      </w:r>
    </w:p>
    <w:p>
      <w:pPr>
        <w:widowControl/>
        <w:wordWrap/>
        <w:adjustRightInd/>
        <w:snapToGrid/>
        <w:spacing w:beforeAutospacing="0" w:afterAutospacing="0" w:line="360" w:lineRule="auto"/>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防控措施：（1）严格执行“一次性告知”制度，所有补正要求均应明确、具体并书面记录。（2）依托行政许可监管平台，自动记录受理、补正等关键节点时间，系统预警超期风险。（3）在服务窗口及在线平台设置“好差评”系统和监督举报渠道，主动接受社会公众监督。</w:t>
      </w:r>
    </w:p>
    <w:p>
      <w:pPr>
        <w:pStyle w:val="7"/>
        <w:widowControl/>
        <w:shd w:val="clear" w:color="auto" w:fill="FFFFFF"/>
        <w:wordWrap/>
        <w:adjustRightInd/>
        <w:snapToGrid/>
        <w:spacing w:beforeAutospacing="0" w:afterAutospacing="0" w:line="360" w:lineRule="auto"/>
        <w:ind w:left="0" w:leftChars="0" w:right="0" w:firstLine="0"/>
        <w:jc w:val="both"/>
        <w:textAlignment w:val="auto"/>
        <w:outlineLvl w:val="9"/>
      </w:pPr>
      <w:r>
        <w:rPr>
          <w:rStyle w:val="11"/>
          <w:rFonts w:hint="eastAsia" w:ascii="quote-cjk-patch" w:hAnsi="quote-cjk-patch" w:cs="quote-cjk-patch"/>
          <w:b/>
          <w:i w:val="0"/>
          <w:caps w:val="0"/>
          <w:color w:val="0F1115"/>
          <w:spacing w:val="0"/>
          <w:sz w:val="24"/>
          <w:szCs w:val="24"/>
          <w:shd w:val="clear" w:color="auto" w:fill="FFFFFF"/>
          <w:lang w:val="en-US" w:eastAsia="zh-CN"/>
        </w:rPr>
        <w:t xml:space="preserve">    </w:t>
      </w:r>
      <w:r>
        <w:rPr>
          <w:rFonts w:hint="default" w:ascii="仿宋" w:hAnsi="仿宋" w:eastAsia="仿宋" w:cs="仿宋"/>
          <w:kern w:val="2"/>
          <w:sz w:val="32"/>
          <w:szCs w:val="32"/>
          <w:lang w:val="en-US" w:eastAsia="zh-CN" w:bidi="ar-SA"/>
        </w:rPr>
        <w:t>（二）技术审评环节</w:t>
      </w:r>
    </w:p>
    <w:p>
      <w:pPr>
        <w:pStyle w:val="7"/>
        <w:widowControl/>
        <w:wordWrap/>
        <w:adjustRightInd/>
        <w:snapToGrid/>
        <w:spacing w:beforeAutospacing="0" w:afterAutospacing="0" w:line="360" w:lineRule="auto"/>
        <w:ind w:left="0" w:leftChars="0" w:right="0"/>
        <w:jc w:val="both"/>
        <w:textAlignment w:val="auto"/>
        <w:outlineLvl w:val="9"/>
      </w:pPr>
      <w:r>
        <w:rPr>
          <w:rStyle w:val="11"/>
          <w:rFonts w:hint="eastAsia" w:ascii="quote-cjk-patch" w:hAnsi="quote-cjk-patch" w:cs="quote-cjk-patch"/>
          <w:b/>
          <w:i w:val="0"/>
          <w:caps w:val="0"/>
          <w:color w:val="0F1115"/>
          <w:spacing w:val="0"/>
          <w:sz w:val="24"/>
          <w:szCs w:val="24"/>
          <w:shd w:val="clear" w:color="auto" w:fill="FFFFFF"/>
          <w:lang w:val="en-US" w:eastAsia="zh-CN"/>
        </w:rPr>
        <w:t xml:space="preserve">   </w:t>
      </w:r>
      <w:r>
        <w:rPr>
          <w:rFonts w:hint="eastAsia" w:ascii="仿宋" w:hAnsi="仿宋" w:eastAsia="仿宋" w:cs="仿宋"/>
          <w:kern w:val="2"/>
          <w:sz w:val="32"/>
          <w:szCs w:val="32"/>
          <w:lang w:val="en-US" w:eastAsia="zh-CN" w:bidi="ar-SA"/>
        </w:rPr>
        <w:t xml:space="preserve"> 1.</w:t>
      </w:r>
      <w:r>
        <w:rPr>
          <w:rFonts w:hint="default" w:ascii="仿宋" w:hAnsi="仿宋" w:eastAsia="仿宋" w:cs="仿宋"/>
          <w:kern w:val="2"/>
          <w:sz w:val="32"/>
          <w:szCs w:val="32"/>
          <w:lang w:val="en-US" w:eastAsia="zh-CN" w:bidi="ar-SA"/>
        </w:rPr>
        <w:t>主要风险点：审评标准执行不公、尺度不一；故意隐瞒或淡化技术问题；接受请托或利益输送，影响审评结论。</w:t>
      </w:r>
    </w:p>
    <w:p>
      <w:pPr>
        <w:pStyle w:val="7"/>
        <w:widowControl/>
        <w:wordWrap/>
        <w:adjustRightInd/>
        <w:snapToGrid/>
        <w:spacing w:beforeAutospacing="0" w:afterAutospacing="0" w:line="360" w:lineRule="auto"/>
        <w:ind w:left="0" w:leftChars="0" w:right="0"/>
        <w:jc w:val="both"/>
        <w:textAlignment w:val="auto"/>
        <w:outlineLvl w:val="9"/>
        <w:rPr>
          <w:rFonts w:hint="default" w:ascii="仿宋" w:hAnsi="仿宋" w:eastAsia="仿宋" w:cs="仿宋"/>
          <w:kern w:val="2"/>
          <w:sz w:val="32"/>
          <w:szCs w:val="32"/>
          <w:lang w:val="en-US" w:eastAsia="zh-CN" w:bidi="ar-SA"/>
        </w:rPr>
      </w:pPr>
      <w:r>
        <w:rPr>
          <w:rStyle w:val="11"/>
          <w:rFonts w:hint="eastAsia" w:ascii="quote-cjk-patch" w:hAnsi="quote-cjk-patch" w:cs="quote-cjk-patch"/>
          <w:b/>
          <w:i w:val="0"/>
          <w:caps w:val="0"/>
          <w:color w:val="0F1115"/>
          <w:spacing w:val="0"/>
          <w:sz w:val="24"/>
          <w:szCs w:val="24"/>
          <w:shd w:val="clear" w:color="auto" w:fill="FFFFFF"/>
          <w:lang w:val="en-US" w:eastAsia="zh-CN"/>
        </w:rPr>
        <w:t xml:space="preserve">    </w:t>
      </w: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防控措施：</w:t>
      </w: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实施审评检查全过程记录和留痕管理，对重大、疑难或存在争议的事项，应组织专家集体讨论或复核。</w:t>
      </w: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建立审评检查人员回避制度。与审评事项存在利害关系的人员，应主动书面申请回避，由审核查验中心负责人审批决定。</w:t>
      </w: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强化审评意见与现场检查记录的相互比对与验证，确保结论客观、证据链完整，防止数据或记录造假。</w:t>
      </w:r>
    </w:p>
    <w:p>
      <w:pPr>
        <w:pStyle w:val="7"/>
        <w:widowControl/>
        <w:shd w:val="clear" w:color="auto" w:fill="FFFFFF"/>
        <w:wordWrap/>
        <w:adjustRightInd/>
        <w:snapToGrid/>
        <w:spacing w:beforeAutospacing="0" w:afterAutospacing="0" w:line="360" w:lineRule="auto"/>
        <w:ind w:left="0" w:leftChars="0" w:right="0" w:firstLine="0"/>
        <w:jc w:val="both"/>
        <w:textAlignment w:val="auto"/>
        <w:outlineLvl w:val="9"/>
      </w:pPr>
      <w:r>
        <w:rPr>
          <w:rFonts w:hint="eastAsia" w:ascii="仿宋" w:hAnsi="仿宋" w:eastAsia="仿宋" w:cs="仿宋"/>
          <w:kern w:val="2"/>
          <w:sz w:val="32"/>
          <w:szCs w:val="32"/>
          <w:lang w:val="en-US" w:eastAsia="zh-CN" w:bidi="ar-SA"/>
        </w:rPr>
        <w:t xml:space="preserve">   </w:t>
      </w:r>
      <w:r>
        <w:rPr>
          <w:rFonts w:hint="default" w:ascii="仿宋" w:hAnsi="仿宋" w:eastAsia="仿宋" w:cs="仿宋"/>
          <w:kern w:val="2"/>
          <w:sz w:val="32"/>
          <w:szCs w:val="32"/>
          <w:lang w:val="en-US" w:eastAsia="zh-CN" w:bidi="ar-SA"/>
        </w:rPr>
        <w:t>（三）审查审批环节</w:t>
      </w:r>
    </w:p>
    <w:p>
      <w:pPr>
        <w:pStyle w:val="7"/>
        <w:widowControl/>
        <w:wordWrap/>
        <w:adjustRightInd/>
        <w:snapToGrid/>
        <w:spacing w:beforeAutospacing="0" w:afterAutospacing="0" w:line="360" w:lineRule="auto"/>
        <w:ind w:left="0" w:leftChars="0" w:right="0"/>
        <w:jc w:val="both"/>
        <w:textAlignment w:val="auto"/>
        <w:outlineLvl w:val="9"/>
      </w:pPr>
      <w:r>
        <w:rPr>
          <w:rStyle w:val="11"/>
          <w:rFonts w:hint="eastAsia" w:ascii="quote-cjk-patch" w:hAnsi="quote-cjk-patch" w:cs="quote-cjk-patch"/>
          <w:b/>
          <w:i w:val="0"/>
          <w:caps w:val="0"/>
          <w:color w:val="0F1115"/>
          <w:spacing w:val="0"/>
          <w:sz w:val="24"/>
          <w:szCs w:val="24"/>
          <w:shd w:val="clear" w:color="auto" w:fill="FFFFFF"/>
          <w:lang w:val="en-US" w:eastAsia="zh-CN"/>
        </w:rPr>
        <w:t xml:space="preserve">     </w:t>
      </w: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主要风险点：超越法定或授予权限进行审批；违反程序违规干预审评审批过程；徇私情、谋私利，导致审批结果不公。</w:t>
      </w:r>
    </w:p>
    <w:p>
      <w:pPr>
        <w:widowControl/>
        <w:numPr>
          <w:ilvl w:val="0"/>
          <w:numId w:val="0"/>
        </w:numPr>
        <w:wordWrap/>
        <w:adjustRightInd/>
        <w:snapToGrid/>
        <w:spacing w:beforeAutospacing="0" w:afterAutospacing="0" w:line="360" w:lineRule="auto"/>
        <w:ind w:left="0" w:leftChars="0" w:right="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2.</w:t>
      </w:r>
      <w:r>
        <w:rPr>
          <w:rFonts w:hint="default" w:ascii="仿宋" w:hAnsi="仿宋" w:eastAsia="仿宋" w:cs="仿宋"/>
          <w:kern w:val="2"/>
          <w:sz w:val="32"/>
          <w:szCs w:val="32"/>
          <w:lang w:val="en-US" w:eastAsia="zh-CN" w:bidi="ar-SA"/>
        </w:rPr>
        <w:t>防控措施：</w:t>
      </w: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实行审批权限分级授权管理制度。重大行政许可事项必须提交局务会或专题会议集体审议决定，确保决策过程公开、公正、透明。</w:t>
      </w:r>
      <w:r>
        <w:rPr>
          <w:rFonts w:hint="eastAsia" w:ascii="仿宋" w:hAnsi="仿宋" w:eastAsia="仿宋" w:cs="仿宋"/>
          <w:kern w:val="2"/>
          <w:sz w:val="32"/>
          <w:szCs w:val="32"/>
          <w:lang w:val="en-US" w:eastAsia="zh-CN" w:bidi="ar-SA"/>
        </w:rPr>
        <w:t>（2）监管平台根据分工设置审批权限，超权操作无法提交，</w:t>
      </w:r>
      <w:r>
        <w:rPr>
          <w:rFonts w:hint="default" w:ascii="仿宋" w:hAnsi="仿宋" w:eastAsia="仿宋" w:cs="仿宋"/>
          <w:kern w:val="2"/>
          <w:sz w:val="32"/>
          <w:szCs w:val="32"/>
          <w:lang w:val="en-US" w:eastAsia="zh-CN" w:bidi="ar-SA"/>
        </w:rPr>
        <w:t>不可篡改”。</w:t>
      </w: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所有审查审批意见必须结论明确、理由充分</w:t>
      </w:r>
      <w:r>
        <w:rPr>
          <w:rFonts w:hint="eastAsia" w:ascii="仿宋" w:hAnsi="仿宋" w:eastAsia="仿宋" w:cs="仿宋"/>
          <w:kern w:val="2"/>
          <w:sz w:val="32"/>
          <w:szCs w:val="32"/>
          <w:lang w:val="en-US" w:eastAsia="zh-CN" w:bidi="ar-SA"/>
        </w:rPr>
        <w:t>。审查审批意见须说明理由，并详细记录法律依据；（4）</w:t>
      </w:r>
      <w:r>
        <w:rPr>
          <w:rFonts w:hint="default" w:ascii="仿宋" w:hAnsi="仿宋" w:eastAsia="仿宋" w:cs="仿宋"/>
          <w:kern w:val="2"/>
          <w:sz w:val="32"/>
          <w:szCs w:val="32"/>
          <w:lang w:val="en-US" w:eastAsia="zh-CN" w:bidi="ar-SA"/>
        </w:rPr>
        <w:t>加强廉政教育和警示教育，严格落实中央八项规定及其实施细则精神。</w:t>
      </w:r>
      <w:r>
        <w:rPr>
          <w:rFonts w:hint="eastAsia" w:ascii="仿宋" w:hAnsi="仿宋" w:eastAsia="仿宋" w:cs="仿宋"/>
          <w:kern w:val="2"/>
          <w:sz w:val="32"/>
          <w:szCs w:val="32"/>
          <w:lang w:val="en-US" w:eastAsia="zh-CN" w:bidi="ar-SA"/>
        </w:rPr>
        <w:t>适时</w:t>
      </w:r>
      <w:r>
        <w:rPr>
          <w:rFonts w:hint="default" w:ascii="仿宋" w:hAnsi="仿宋" w:eastAsia="仿宋" w:cs="仿宋"/>
          <w:kern w:val="2"/>
          <w:sz w:val="32"/>
          <w:szCs w:val="32"/>
          <w:lang w:val="en-US" w:eastAsia="zh-CN" w:bidi="ar-SA"/>
        </w:rPr>
        <w:t>对岗位人员实施轮岗交流。</w:t>
      </w:r>
      <w:r>
        <w:rPr>
          <w:rFonts w:hint="eastAsia" w:ascii="仿宋" w:hAnsi="仿宋" w:eastAsia="仿宋" w:cs="仿宋"/>
          <w:kern w:val="2"/>
          <w:sz w:val="32"/>
          <w:szCs w:val="32"/>
          <w:lang w:val="en-US" w:eastAsia="zh-CN" w:bidi="ar-SA"/>
        </w:rPr>
        <w:t>（5） 政策法规处可定期评查行政许可案卷。</w:t>
      </w:r>
    </w:p>
    <w:p>
      <w:pPr>
        <w:pStyle w:val="7"/>
        <w:widowControl/>
        <w:shd w:val="clear" w:color="auto" w:fill="FFFFFF"/>
        <w:wordWrap/>
        <w:adjustRightInd/>
        <w:snapToGrid/>
        <w:spacing w:beforeAutospacing="0" w:afterAutospacing="0" w:line="360" w:lineRule="auto"/>
        <w:ind w:left="0" w:leftChars="0" w:right="0" w:firstLine="0"/>
        <w:jc w:val="both"/>
        <w:textAlignment w:val="auto"/>
        <w:outlineLvl w:val="9"/>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w:t>
      </w:r>
      <w:r>
        <w:rPr>
          <w:rFonts w:hint="default" w:ascii="仿宋" w:hAnsi="仿宋" w:eastAsia="仿宋" w:cs="仿宋"/>
          <w:kern w:val="2"/>
          <w:sz w:val="32"/>
          <w:szCs w:val="32"/>
          <w:lang w:val="en-US" w:eastAsia="zh-CN" w:bidi="ar-SA"/>
        </w:rPr>
        <w:t>（四）制证送达环节</w:t>
      </w:r>
    </w:p>
    <w:p>
      <w:pPr>
        <w:pStyle w:val="7"/>
        <w:widowControl/>
        <w:wordWrap/>
        <w:adjustRightInd/>
        <w:snapToGrid/>
        <w:spacing w:beforeAutospacing="0" w:afterAutospacing="0" w:line="360" w:lineRule="auto"/>
        <w:ind w:left="0" w:leftChars="0" w:right="0"/>
        <w:jc w:val="both"/>
        <w:textAlignment w:val="auto"/>
        <w:outlineLvl w:val="9"/>
      </w:pPr>
      <w:r>
        <w:rPr>
          <w:rStyle w:val="11"/>
          <w:rFonts w:hint="eastAsia" w:ascii="quote-cjk-patch" w:hAnsi="quote-cjk-patch" w:cs="quote-cjk-patch"/>
          <w:b/>
          <w:i w:val="0"/>
          <w:caps w:val="0"/>
          <w:color w:val="0F1115"/>
          <w:spacing w:val="0"/>
          <w:sz w:val="24"/>
          <w:szCs w:val="24"/>
          <w:shd w:val="clear" w:color="auto" w:fill="FFFFFF"/>
          <w:lang w:val="en-US" w:eastAsia="zh-CN"/>
        </w:rPr>
        <w:t xml:space="preserve">     </w:t>
      </w:r>
      <w:r>
        <w:rPr>
          <w:rFonts w:hint="eastAsia" w:ascii="仿宋" w:hAnsi="仿宋" w:eastAsia="仿宋" w:cs="仿宋"/>
          <w:kern w:val="2"/>
          <w:sz w:val="32"/>
          <w:szCs w:val="32"/>
          <w:lang w:val="en-US" w:eastAsia="zh-CN" w:bidi="ar-SA"/>
        </w:rPr>
        <w:t>1.</w:t>
      </w:r>
      <w:r>
        <w:rPr>
          <w:rFonts w:hint="default" w:ascii="仿宋" w:hAnsi="仿宋" w:eastAsia="仿宋" w:cs="仿宋"/>
          <w:kern w:val="2"/>
          <w:sz w:val="32"/>
          <w:szCs w:val="32"/>
          <w:lang w:val="en-US" w:eastAsia="zh-CN" w:bidi="ar-SA"/>
        </w:rPr>
        <w:t>主要风险点：行政许可证书内容错误或校对不严；未按规定方式和时限送达；违规向申请人收取费用。</w:t>
      </w:r>
    </w:p>
    <w:p>
      <w:pPr>
        <w:widowControl/>
        <w:wordWrap/>
        <w:adjustRightInd/>
        <w:snapToGrid/>
        <w:spacing w:beforeAutospacing="0" w:afterAutospacing="0" w:line="360" w:lineRule="auto"/>
        <w:ind w:left="0" w:leftChars="0" w:right="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2.</w:t>
      </w:r>
      <w:r>
        <w:rPr>
          <w:rFonts w:hint="default" w:ascii="仿宋" w:hAnsi="仿宋" w:eastAsia="仿宋" w:cs="仿宋"/>
          <w:kern w:val="2"/>
          <w:sz w:val="32"/>
          <w:szCs w:val="32"/>
          <w:lang w:val="en-US" w:eastAsia="zh-CN" w:bidi="ar-SA"/>
        </w:rPr>
        <w:t>防控措施：</w:t>
      </w:r>
      <w:r>
        <w:rPr>
          <w:rFonts w:hint="eastAsia" w:ascii="仿宋" w:hAnsi="仿宋" w:eastAsia="仿宋" w:cs="仿宋"/>
          <w:kern w:val="2"/>
          <w:sz w:val="32"/>
          <w:szCs w:val="32"/>
          <w:lang w:val="en-US" w:eastAsia="zh-CN" w:bidi="ar-SA"/>
        </w:rPr>
        <w:t>（1）证书信息由监管平台自动生成，需认真校对；（2）申请人可随时查询办理进度，提供邮寄或现场送达两种方式；（3） 严禁收取规定外任何费用，设立公开监督举报电话。</w:t>
      </w:r>
    </w:p>
    <w:p>
      <w:pPr>
        <w:widowControl/>
        <w:numPr>
          <w:ilvl w:val="0"/>
          <w:numId w:val="0"/>
        </w:numPr>
        <w:wordWrap/>
        <w:adjustRightInd/>
        <w:snapToGrid/>
        <w:spacing w:beforeAutospacing="0" w:afterAutospacing="0" w:line="360" w:lineRule="auto"/>
        <w:ind w:left="0" w:leftChars="0" w:right="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黑体" w:hAnsi="黑体" w:eastAsia="黑体" w:cs="黑体"/>
          <w:sz w:val="32"/>
          <w:szCs w:val="32"/>
          <w:lang w:val="en-US" w:eastAsia="zh-CN"/>
        </w:rPr>
        <w:t>三、</w:t>
      </w:r>
      <w:r>
        <w:rPr>
          <w:rFonts w:hint="eastAsia" w:ascii="黑体" w:hAnsi="黑体" w:eastAsia="黑体" w:cs="黑体"/>
          <w:sz w:val="32"/>
          <w:szCs w:val="32"/>
        </w:rPr>
        <w:t>违规处理</w:t>
      </w:r>
    </w:p>
    <w:p>
      <w:pPr>
        <w:widowControl/>
        <w:wordWrap/>
        <w:adjustRightInd/>
        <w:snapToGrid/>
        <w:spacing w:beforeAutospacing="0" w:afterAutospacing="0" w:line="360" w:lineRule="auto"/>
        <w:ind w:left="0" w:leftChars="0" w:right="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对违反廉政规定的行为，视情节轻重给予批评教育、调离岗位、纪律处分；构成犯罪的，移送司法机关处理；建立廉政档案，记录违规行为并与评优挂钩。</w:t>
      </w:r>
    </w:p>
    <w:p>
      <w:pPr>
        <w:widowControl/>
        <w:numPr>
          <w:ilvl w:val="0"/>
          <w:numId w:val="0"/>
        </w:numPr>
        <w:wordWrap/>
        <w:adjustRightInd/>
        <w:snapToGrid/>
        <w:spacing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r>
        <w:rPr>
          <w:rFonts w:hint="eastAsia" w:ascii="仿宋" w:hAnsi="仿宋" w:eastAsia="仿宋" w:cs="仿宋"/>
          <w:sz w:val="32"/>
          <w:szCs w:val="32"/>
          <w:lang w:val="en-US" w:eastAsia="zh-CN"/>
        </w:rPr>
        <w:t xml:space="preserve">   </w:t>
      </w:r>
      <w:r>
        <w:rPr>
          <w:rFonts w:hint="eastAsia" w:ascii="黑体" w:hAnsi="黑体" w:eastAsia="黑体" w:cs="黑体"/>
          <w:sz w:val="32"/>
          <w:szCs w:val="32"/>
          <w:lang w:val="en-US" w:eastAsia="zh-CN"/>
        </w:rPr>
        <w:t xml:space="preserve"> </w:t>
      </w:r>
    </w:p>
    <w:p>
      <w:pPr>
        <w:widowControl/>
        <w:numPr>
          <w:ilvl w:val="0"/>
          <w:numId w:val="0"/>
        </w:numPr>
        <w:wordWrap/>
        <w:adjustRightInd/>
        <w:snapToGrid/>
        <w:spacing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p>
    <w:p>
      <w:pPr>
        <w:widowControl/>
        <w:numPr>
          <w:ilvl w:val="0"/>
          <w:numId w:val="0"/>
        </w:numPr>
        <w:wordWrap/>
        <w:adjustRightInd/>
        <w:snapToGrid/>
        <w:spacing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p>
    <w:p>
      <w:pPr>
        <w:widowControl/>
        <w:numPr>
          <w:ilvl w:val="0"/>
          <w:numId w:val="0"/>
        </w:numPr>
        <w:wordWrap/>
        <w:adjustRightInd/>
        <w:snapToGrid/>
        <w:spacing w:line="560" w:lineRule="exact"/>
        <w:ind w:left="0" w:leftChars="0" w:right="0" w:firstLine="640" w:firstLineChars="200"/>
        <w:jc w:val="both"/>
        <w:textAlignment w:val="auto"/>
        <w:outlineLvl w:val="9"/>
        <w:rPr>
          <w:rFonts w:hint="eastAsia" w:ascii="黑体" w:hAnsi="黑体" w:eastAsia="黑体" w:cs="黑体"/>
          <w:sz w:val="32"/>
          <w:szCs w:val="32"/>
          <w:lang w:val="en-US" w:eastAsia="zh-CN"/>
        </w:rPr>
      </w:pPr>
    </w:p>
    <w:p>
      <w:pPr>
        <w:widowControl/>
        <w:wordWrap/>
        <w:adjustRightInd/>
        <w:snapToGrid/>
        <w:spacing w:line="560" w:lineRule="exact"/>
        <w:ind w:right="0"/>
        <w:jc w:val="left"/>
        <w:textAlignment w:val="auto"/>
        <w:outlineLvl w:val="9"/>
        <w:rPr>
          <w:rFonts w:hint="eastAsia" w:ascii="仿宋" w:hAnsi="仿宋" w:eastAsia="仿宋" w:cs="仿宋"/>
          <w:sz w:val="32"/>
          <w:szCs w:val="32"/>
          <w:lang w:val="en-US" w:eastAsia="zh-CN"/>
        </w:rPr>
      </w:pPr>
    </w:p>
    <w:p>
      <w:pPr>
        <w:widowControl/>
        <w:wordWrap/>
        <w:adjustRightInd/>
        <w:snapToGrid/>
        <w:spacing w:line="560" w:lineRule="exact"/>
        <w:ind w:right="0"/>
        <w:jc w:val="left"/>
        <w:textAlignment w:val="auto"/>
        <w:outlineLvl w:val="9"/>
        <w:rPr>
          <w:rFonts w:hint="eastAsia" w:ascii="仿宋" w:hAnsi="仿宋" w:eastAsia="仿宋" w:cs="仿宋"/>
          <w:sz w:val="32"/>
          <w:szCs w:val="32"/>
          <w:lang w:val="en-US" w:eastAsia="zh-CN"/>
        </w:rPr>
      </w:pPr>
    </w:p>
    <w:p>
      <w:pPr>
        <w:widowControl/>
        <w:wordWrap/>
        <w:adjustRightInd/>
        <w:snapToGrid/>
        <w:spacing w:line="560" w:lineRule="exact"/>
        <w:ind w:right="0"/>
        <w:jc w:val="left"/>
        <w:textAlignment w:val="auto"/>
        <w:outlineLvl w:val="9"/>
        <w:rPr>
          <w:rFonts w:hint="eastAsia" w:ascii="仿宋" w:hAnsi="仿宋" w:eastAsia="仿宋" w:cs="仿宋"/>
          <w:sz w:val="32"/>
          <w:szCs w:val="32"/>
          <w:lang w:val="en-US" w:eastAsia="zh-CN"/>
        </w:rPr>
      </w:pPr>
    </w:p>
    <w:p>
      <w:pPr>
        <w:widowControl/>
        <w:wordWrap/>
        <w:adjustRightInd/>
        <w:snapToGrid/>
        <w:spacing w:line="560" w:lineRule="exact"/>
        <w:ind w:right="0"/>
        <w:jc w:val="left"/>
        <w:textAlignment w:val="auto"/>
        <w:outlineLvl w:val="9"/>
        <w:rPr>
          <w:rFonts w:hint="eastAsia" w:ascii="仿宋" w:hAnsi="仿宋" w:eastAsia="仿宋" w:cs="仿宋"/>
          <w:sz w:val="32"/>
          <w:szCs w:val="32"/>
          <w:lang w:val="en-US" w:eastAsia="zh-CN"/>
        </w:rPr>
      </w:pPr>
    </w:p>
    <w:p>
      <w:pPr>
        <w:widowControl/>
        <w:wordWrap/>
        <w:adjustRightInd/>
        <w:snapToGrid/>
        <w:spacing w:line="560" w:lineRule="exact"/>
        <w:ind w:right="0"/>
        <w:jc w:val="left"/>
        <w:textAlignment w:val="auto"/>
        <w:outlineLvl w:val="9"/>
        <w:rPr>
          <w:rFonts w:hint="eastAsia" w:ascii="仿宋" w:hAnsi="仿宋" w:eastAsia="仿宋" w:cs="仿宋"/>
          <w:sz w:val="32"/>
          <w:szCs w:val="32"/>
          <w:lang w:val="en-US" w:eastAsia="zh-CN"/>
        </w:rPr>
      </w:pPr>
    </w:p>
    <w:p>
      <w:pPr>
        <w:widowControl/>
        <w:wordWrap/>
        <w:adjustRightInd/>
        <w:snapToGrid/>
        <w:spacing w:line="560" w:lineRule="exact"/>
        <w:ind w:right="0"/>
        <w:jc w:val="left"/>
        <w:textAlignment w:val="auto"/>
        <w:outlineLvl w:val="9"/>
        <w:rPr>
          <w:rFonts w:hint="eastAsia" w:ascii="仿宋" w:hAnsi="仿宋" w:eastAsia="仿宋" w:cs="仿宋"/>
          <w:sz w:val="32"/>
          <w:szCs w:val="32"/>
          <w:lang w:val="en-US" w:eastAsia="zh-CN"/>
        </w:rPr>
      </w:pPr>
    </w:p>
    <w:p>
      <w:pPr>
        <w:widowControl/>
        <w:wordWrap/>
        <w:adjustRightInd/>
        <w:snapToGrid/>
        <w:spacing w:line="560" w:lineRule="exact"/>
        <w:ind w:right="0"/>
        <w:jc w:val="left"/>
        <w:textAlignment w:val="auto"/>
        <w:outlineLvl w:val="9"/>
        <w:rPr>
          <w:rFonts w:hint="eastAsia" w:ascii="仿宋" w:hAnsi="仿宋" w:eastAsia="仿宋" w:cs="仿宋"/>
          <w:sz w:val="32"/>
          <w:szCs w:val="32"/>
          <w:lang w:val="en-US" w:eastAsia="zh-CN"/>
        </w:rPr>
      </w:pPr>
    </w:p>
    <w:p>
      <w:pPr>
        <w:widowControl/>
        <w:wordWrap/>
        <w:adjustRightInd/>
        <w:snapToGrid/>
        <w:spacing w:line="560" w:lineRule="exact"/>
        <w:ind w:right="0"/>
        <w:jc w:val="left"/>
        <w:textAlignment w:val="auto"/>
        <w:outlineLvl w:val="9"/>
        <w:rPr>
          <w:rFonts w:hint="eastAsia" w:ascii="仿宋" w:hAnsi="仿宋" w:eastAsia="仿宋" w:cs="仿宋"/>
          <w:sz w:val="32"/>
          <w:szCs w:val="32"/>
          <w:lang w:val="en-US" w:eastAsia="zh-CN"/>
        </w:rPr>
      </w:pPr>
    </w:p>
    <w:p>
      <w:pPr>
        <w:widowControl/>
        <w:wordWrap/>
        <w:adjustRightInd/>
        <w:snapToGrid/>
        <w:spacing w:line="560" w:lineRule="exact"/>
        <w:ind w:right="0"/>
        <w:jc w:val="left"/>
        <w:textAlignment w:val="auto"/>
        <w:outlineLvl w:val="9"/>
        <w:rPr>
          <w:rFonts w:hint="eastAsia" w:ascii="仿宋" w:hAnsi="仿宋" w:eastAsia="仿宋" w:cs="仿宋"/>
          <w:sz w:val="32"/>
          <w:szCs w:val="32"/>
          <w:lang w:val="en-US" w:eastAsia="zh-CN"/>
        </w:rPr>
      </w:pPr>
    </w:p>
    <w:p>
      <w:pPr>
        <w:widowControl/>
        <w:wordWrap/>
        <w:adjustRightInd/>
        <w:snapToGrid/>
        <w:spacing w:line="560" w:lineRule="exact"/>
        <w:ind w:right="0"/>
        <w:jc w:val="left"/>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附件3：</w:t>
      </w:r>
    </w:p>
    <w:p>
      <w:pPr>
        <w:jc w:val="center"/>
        <w:rPr>
          <w:rFonts w:hint="eastAsia" w:ascii="方正小标宋简体" w:hAnsi="方正小标宋简体" w:eastAsia="方正小标宋简体" w:cs="方正小标宋简体"/>
          <w:sz w:val="40"/>
          <w:szCs w:val="40"/>
          <w:lang w:val="en-US" w:eastAsia="zh-CN"/>
        </w:rPr>
      </w:pPr>
      <w:r>
        <w:rPr>
          <w:rFonts w:hint="eastAsia" w:ascii="方正小标宋简体" w:hAnsi="方正小标宋简体" w:eastAsia="方正小标宋简体" w:cs="方正小标宋简体"/>
          <w:sz w:val="40"/>
          <w:szCs w:val="40"/>
          <w:lang w:val="en-US" w:eastAsia="zh-CN"/>
        </w:rPr>
        <w:t>协调会/专项论证会记录表</w:t>
      </w:r>
    </w:p>
    <w:p>
      <w:pPr>
        <w:widowControl w:val="0"/>
        <w:wordWrap/>
        <w:adjustRightInd/>
        <w:snapToGrid w:val="0"/>
        <w:jc w:val="both"/>
        <w:textAlignment w:val="auto"/>
        <w:rPr>
          <w:rFonts w:hint="eastAsia" w:ascii="宋体" w:hAnsi="宋体" w:cs="宋体"/>
          <w:sz w:val="22"/>
          <w:szCs w:val="22"/>
          <w:lang w:val="en-US" w:eastAsia="zh-CN"/>
        </w:rPr>
      </w:pPr>
    </w:p>
    <w:p>
      <w:pPr>
        <w:widowControl w:val="0"/>
        <w:wordWrap/>
        <w:adjustRightInd/>
        <w:snapToGrid w:val="0"/>
        <w:jc w:val="both"/>
        <w:textAlignment w:val="auto"/>
        <w:rPr>
          <w:rFonts w:hint="eastAsia" w:ascii="宋体" w:hAnsi="宋体" w:cs="宋体"/>
          <w:sz w:val="22"/>
          <w:szCs w:val="22"/>
          <w:lang w:val="en-US" w:eastAsia="zh-CN"/>
        </w:rPr>
      </w:pPr>
      <w:r>
        <w:rPr>
          <w:rFonts w:hint="eastAsia" w:ascii="宋体" w:hAnsi="宋体" w:cs="宋体"/>
          <w:sz w:val="22"/>
          <w:szCs w:val="22"/>
          <w:lang w:val="en-US" w:eastAsia="zh-CN"/>
        </w:rPr>
        <w:t xml:space="preserve">编号：许可202600X (组织单位+年份+三位流水号，由组织单位自行编号) </w:t>
      </w:r>
    </w:p>
    <w:tbl>
      <w:tblPr>
        <w:tblStyle w:val="9"/>
        <w:tblW w:w="92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3497"/>
        <w:gridCol w:w="1380"/>
        <w:gridCol w:w="3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7" w:hRule="atLeast"/>
          <w:jc w:val="center"/>
        </w:trPr>
        <w:tc>
          <w:tcPr>
            <w:tcW w:w="1127" w:type="dxa"/>
            <w:vAlign w:val="center"/>
          </w:tcPr>
          <w:p>
            <w:pPr>
              <w:widowControl w:val="0"/>
              <w:wordWrap/>
              <w:adjustRightInd/>
              <w:snapToGrid w:val="0"/>
              <w:jc w:val="center"/>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组织单位</w:t>
            </w:r>
          </w:p>
        </w:tc>
        <w:tc>
          <w:tcPr>
            <w:tcW w:w="3497" w:type="dxa"/>
            <w:vAlign w:val="center"/>
          </w:tcPr>
          <w:p>
            <w:pPr>
              <w:widowControl w:val="0"/>
              <w:wordWrap/>
              <w:adjustRightInd/>
              <w:snapToGrid w:val="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XXXX</w:t>
            </w:r>
          </w:p>
        </w:tc>
        <w:tc>
          <w:tcPr>
            <w:tcW w:w="1380" w:type="dxa"/>
            <w:vAlign w:val="center"/>
          </w:tcPr>
          <w:p>
            <w:pPr>
              <w:widowControl w:val="0"/>
              <w:wordWrap/>
              <w:adjustRightInd/>
              <w:snapToGrid w:val="0"/>
              <w:jc w:val="center"/>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主持人</w:t>
            </w:r>
          </w:p>
        </w:tc>
        <w:tc>
          <w:tcPr>
            <w:tcW w:w="3287" w:type="dxa"/>
            <w:vAlign w:val="center"/>
          </w:tcPr>
          <w:p>
            <w:pPr>
              <w:widowControl w:val="0"/>
              <w:wordWrap/>
              <w:adjustRightInd/>
              <w:snapToGrid w:val="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7" w:hRule="atLeast"/>
          <w:jc w:val="center"/>
        </w:trPr>
        <w:tc>
          <w:tcPr>
            <w:tcW w:w="1127" w:type="dxa"/>
            <w:vAlign w:val="center"/>
          </w:tcPr>
          <w:p>
            <w:pPr>
              <w:widowControl w:val="0"/>
              <w:wordWrap/>
              <w:adjustRightInd/>
              <w:snapToGrid w:val="0"/>
              <w:jc w:val="center"/>
              <w:textAlignment w:val="auto"/>
              <w:rPr>
                <w:rFonts w:hint="eastAsia" w:ascii="宋体" w:hAnsi="宋体" w:cs="宋体"/>
                <w:sz w:val="22"/>
                <w:szCs w:val="22"/>
                <w:lang w:val="en-US" w:eastAsia="zh-CN"/>
              </w:rPr>
            </w:pPr>
            <w:r>
              <w:rPr>
                <w:rFonts w:hint="eastAsia" w:ascii="宋体" w:hAnsi="宋体" w:cs="宋体"/>
                <w:sz w:val="22"/>
                <w:szCs w:val="22"/>
                <w:lang w:val="en-US" w:eastAsia="zh-CN"/>
              </w:rPr>
              <w:t>会议地点</w:t>
            </w:r>
          </w:p>
        </w:tc>
        <w:tc>
          <w:tcPr>
            <w:tcW w:w="3497" w:type="dxa"/>
            <w:vAlign w:val="center"/>
          </w:tcPr>
          <w:p>
            <w:pPr>
              <w:widowControl w:val="0"/>
              <w:wordWrap/>
              <w:adjustRightInd/>
              <w:snapToGrid w:val="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XXXX</w:t>
            </w:r>
          </w:p>
        </w:tc>
        <w:tc>
          <w:tcPr>
            <w:tcW w:w="1380" w:type="dxa"/>
            <w:vAlign w:val="center"/>
          </w:tcPr>
          <w:p>
            <w:pPr>
              <w:widowControl w:val="0"/>
              <w:wordWrap/>
              <w:adjustRightInd/>
              <w:snapToGrid w:val="0"/>
              <w:jc w:val="center"/>
              <w:textAlignment w:val="auto"/>
              <w:rPr>
                <w:rFonts w:hint="eastAsia" w:ascii="宋体" w:hAnsi="宋体" w:cs="宋体"/>
                <w:sz w:val="22"/>
                <w:szCs w:val="22"/>
                <w:lang w:val="en-US" w:eastAsia="zh-CN"/>
              </w:rPr>
            </w:pPr>
            <w:r>
              <w:rPr>
                <w:rFonts w:hint="eastAsia" w:ascii="宋体" w:hAnsi="宋体" w:cs="宋体"/>
                <w:sz w:val="22"/>
                <w:szCs w:val="22"/>
                <w:lang w:val="en-US" w:eastAsia="zh-CN"/>
              </w:rPr>
              <w:t>会议时间</w:t>
            </w:r>
          </w:p>
        </w:tc>
        <w:tc>
          <w:tcPr>
            <w:tcW w:w="3287" w:type="dxa"/>
            <w:vAlign w:val="center"/>
          </w:tcPr>
          <w:p>
            <w:pPr>
              <w:widowControl w:val="0"/>
              <w:wordWrap/>
              <w:adjustRightInd/>
              <w:snapToGrid w:val="0"/>
              <w:jc w:val="center"/>
              <w:textAlignment w:val="auto"/>
              <w:rPr>
                <w:rFonts w:hint="eastAsia" w:ascii="宋体" w:hAnsi="宋体" w:eastAsia="宋体" w:cs="宋体"/>
                <w:sz w:val="22"/>
                <w:szCs w:val="22"/>
                <w:lang w:val="en-US" w:eastAsia="zh-CN"/>
              </w:rPr>
            </w:pPr>
            <w:r>
              <w:rPr>
                <w:rFonts w:hint="eastAsia" w:ascii="宋体" w:hAnsi="宋体" w:cs="宋体"/>
                <w:sz w:val="22"/>
                <w:szCs w:val="22"/>
                <w:lang w:val="en-US" w:eastAsia="zh-CN"/>
              </w:rPr>
              <w:t>20</w:t>
            </w:r>
            <w:r>
              <w:rPr>
                <w:rFonts w:hint="eastAsia" w:ascii="宋体" w:hAnsi="宋体" w:eastAsia="宋体" w:cs="宋体"/>
                <w:sz w:val="22"/>
                <w:szCs w:val="22"/>
                <w:lang w:val="en-US" w:eastAsia="zh-CN"/>
              </w:rPr>
              <w:t>XX</w:t>
            </w:r>
            <w:r>
              <w:rPr>
                <w:rFonts w:hint="eastAsia" w:ascii="宋体" w:hAnsi="宋体" w:cs="宋体"/>
                <w:sz w:val="22"/>
                <w:szCs w:val="22"/>
                <w:lang w:val="en-US" w:eastAsia="zh-CN"/>
              </w:rPr>
              <w:t>年</w:t>
            </w:r>
            <w:r>
              <w:rPr>
                <w:rFonts w:hint="eastAsia" w:ascii="宋体" w:hAnsi="宋体" w:eastAsia="宋体" w:cs="宋体"/>
                <w:sz w:val="22"/>
                <w:szCs w:val="22"/>
                <w:lang w:val="en-US" w:eastAsia="zh-CN"/>
              </w:rPr>
              <w:t>XX</w:t>
            </w:r>
            <w:r>
              <w:rPr>
                <w:rFonts w:hint="eastAsia" w:ascii="宋体" w:hAnsi="宋体" w:cs="宋体"/>
                <w:sz w:val="22"/>
                <w:szCs w:val="22"/>
                <w:lang w:val="en-US" w:eastAsia="zh-CN"/>
              </w:rPr>
              <w:t>月</w:t>
            </w:r>
            <w:r>
              <w:rPr>
                <w:rFonts w:hint="eastAsia" w:ascii="宋体" w:hAnsi="宋体" w:eastAsia="宋体" w:cs="宋体"/>
                <w:sz w:val="22"/>
                <w:szCs w:val="22"/>
                <w:lang w:val="en-US" w:eastAsia="zh-CN"/>
              </w:rPr>
              <w:t>XX</w:t>
            </w:r>
            <w:r>
              <w:rPr>
                <w:rFonts w:hint="eastAsia" w:ascii="宋体" w:hAnsi="宋体" w:cs="宋体"/>
                <w:sz w:val="22"/>
                <w:szCs w:val="22"/>
                <w:lang w:val="en-US" w:eastAsia="zh-CN"/>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9" w:hRule="atLeast"/>
          <w:jc w:val="center"/>
        </w:trPr>
        <w:tc>
          <w:tcPr>
            <w:tcW w:w="1127" w:type="dxa"/>
            <w:vAlign w:val="center"/>
          </w:tcPr>
          <w:p>
            <w:pPr>
              <w:widowControl w:val="0"/>
              <w:wordWrap/>
              <w:adjustRightInd/>
              <w:snapToGrid w:val="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议题名称</w:t>
            </w:r>
          </w:p>
        </w:tc>
        <w:tc>
          <w:tcPr>
            <w:tcW w:w="8164" w:type="dxa"/>
            <w:gridSpan w:val="3"/>
            <w:vAlign w:val="center"/>
          </w:tcPr>
          <w:p>
            <w:pPr>
              <w:widowControl w:val="0"/>
              <w:jc w:val="center"/>
              <w:rPr>
                <w:rFonts w:hint="eastAsia" w:ascii="仿宋_GB2312" w:hAnsi="仿宋_GB2312" w:eastAsia="仿宋_GB2312" w:cs="仿宋_GB2312"/>
                <w:sz w:val="24"/>
                <w:szCs w:val="24"/>
                <w:lang w:val="en-US" w:eastAsia="zh-CN"/>
              </w:rPr>
            </w:pPr>
            <w:r>
              <w:rPr>
                <w:rFonts w:hint="eastAsia" w:ascii="宋体" w:hAnsi="宋体" w:cs="宋体"/>
                <w:sz w:val="22"/>
                <w:szCs w:val="22"/>
                <w:lang w:val="en-US" w:eastAsia="zh-CN"/>
              </w:rPr>
              <w:t>关于XXXX的事宜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6" w:hRule="atLeast"/>
          <w:jc w:val="center"/>
        </w:trPr>
        <w:tc>
          <w:tcPr>
            <w:tcW w:w="1127" w:type="dxa"/>
            <w:vAlign w:val="center"/>
          </w:tcPr>
          <w:p>
            <w:pPr>
              <w:widowControl w:val="0"/>
              <w:wordWrap/>
              <w:adjustRightInd/>
              <w:snapToGrid w:val="0"/>
              <w:spacing w:line="400" w:lineRule="exact"/>
              <w:ind w:left="0" w:leftChars="0" w:right="0" w:firstLine="0" w:firstLineChars="0"/>
              <w:jc w:val="center"/>
              <w:textAlignment w:val="auto"/>
              <w:outlineLvl w:val="9"/>
              <w:rPr>
                <w:rFonts w:hint="eastAsia" w:ascii="宋体" w:hAnsi="宋体" w:eastAsia="宋体" w:cs="宋体"/>
                <w:sz w:val="22"/>
                <w:szCs w:val="22"/>
                <w:lang w:val="en-US" w:eastAsia="zh-CN"/>
              </w:rPr>
            </w:pPr>
            <w:r>
              <w:rPr>
                <w:rFonts w:hint="eastAsia" w:ascii="宋体" w:hAnsi="宋体" w:cs="宋体"/>
                <w:sz w:val="22"/>
                <w:szCs w:val="22"/>
                <w:lang w:val="en-US" w:eastAsia="zh-CN"/>
              </w:rPr>
              <w:t>讨论事项</w:t>
            </w:r>
          </w:p>
        </w:tc>
        <w:tc>
          <w:tcPr>
            <w:tcW w:w="8164" w:type="dxa"/>
            <w:gridSpan w:val="3"/>
            <w:vAlign w:val="top"/>
          </w:tcPr>
          <w:p>
            <w:pPr>
              <w:widowControl w:val="0"/>
              <w:wordWrap/>
              <w:adjustRightInd/>
              <w:snapToGrid w:val="0"/>
              <w:ind w:firstLine="560" w:firstLineChars="200"/>
              <w:jc w:val="left"/>
              <w:rPr>
                <w:rFonts w:hint="eastAsia" w:ascii="仿宋_GB2312" w:hAnsi="仿宋_GB2312" w:eastAsia="仿宋_GB2312" w:cs="仿宋_GB2312"/>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6" w:hRule="atLeast"/>
          <w:jc w:val="center"/>
        </w:trPr>
        <w:tc>
          <w:tcPr>
            <w:tcW w:w="1127" w:type="dxa"/>
            <w:vAlign w:val="center"/>
          </w:tcPr>
          <w:p>
            <w:pPr>
              <w:widowControl w:val="0"/>
              <w:wordWrap/>
              <w:adjustRightInd/>
              <w:snapToGrid w:val="0"/>
              <w:spacing w:line="400" w:lineRule="exact"/>
              <w:ind w:left="0" w:leftChars="0" w:right="0" w:firstLine="0" w:firstLineChars="0"/>
              <w:jc w:val="center"/>
              <w:textAlignment w:val="auto"/>
              <w:outlineLvl w:val="9"/>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会议形成</w:t>
            </w:r>
            <w:r>
              <w:rPr>
                <w:rFonts w:hint="eastAsia" w:ascii="宋体" w:hAnsi="宋体" w:cs="宋体"/>
                <w:sz w:val="22"/>
                <w:szCs w:val="22"/>
                <w:lang w:val="en-US" w:eastAsia="zh-CN"/>
              </w:rPr>
              <w:t>统一意见</w:t>
            </w:r>
          </w:p>
        </w:tc>
        <w:tc>
          <w:tcPr>
            <w:tcW w:w="8164" w:type="dxa"/>
            <w:gridSpan w:val="3"/>
            <w:vAlign w:val="top"/>
          </w:tcPr>
          <w:p>
            <w:pPr>
              <w:widowControl w:val="0"/>
              <w:wordWrap/>
              <w:adjustRightInd/>
              <w:snapToGrid w:val="0"/>
              <w:ind w:firstLine="560" w:firstLineChars="20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w:t>
            </w:r>
          </w:p>
          <w:p>
            <w:pPr>
              <w:widowControl w:val="0"/>
              <w:wordWrap/>
              <w:adjustRightInd/>
              <w:snapToGrid w:val="0"/>
              <w:ind w:firstLine="560" w:firstLineChars="200"/>
              <w:jc w:val="left"/>
              <w:rPr>
                <w:rFonts w:hint="default" w:ascii="仿宋_GB2312" w:hAnsi="仿宋_GB2312" w:eastAsia="仿宋_GB2312" w:cs="仿宋_GB2312"/>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30" w:hRule="atLeast"/>
          <w:jc w:val="center"/>
        </w:trPr>
        <w:tc>
          <w:tcPr>
            <w:tcW w:w="1127" w:type="dxa"/>
            <w:vAlign w:val="center"/>
          </w:tcPr>
          <w:p>
            <w:pPr>
              <w:widowControl w:val="0"/>
              <w:wordWrap/>
              <w:adjustRightInd/>
              <w:snapToGrid w:val="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参会单位</w:t>
            </w:r>
            <w:r>
              <w:rPr>
                <w:rFonts w:hint="eastAsia" w:ascii="宋体" w:hAnsi="宋体" w:cs="宋体"/>
                <w:sz w:val="22"/>
                <w:szCs w:val="22"/>
                <w:lang w:val="en-US" w:eastAsia="zh-CN"/>
              </w:rPr>
              <w:t>及人员签字（姓名、职务）</w:t>
            </w:r>
          </w:p>
        </w:tc>
        <w:tc>
          <w:tcPr>
            <w:tcW w:w="8164" w:type="dxa"/>
            <w:gridSpan w:val="3"/>
            <w:vAlign w:val="center"/>
          </w:tcPr>
          <w:p>
            <w:pPr>
              <w:widowControl w:val="0"/>
              <w:wordWrap/>
              <w:adjustRightInd/>
              <w:snapToGrid w:val="0"/>
              <w:spacing w:line="360" w:lineRule="auto"/>
              <w:jc w:val="left"/>
              <w:rPr>
                <w:rFonts w:hint="eastAsia" w:ascii="仿宋_GB2312" w:hAnsi="仿宋_GB2312" w:eastAsia="仿宋_GB2312" w:cs="仿宋_GB2312"/>
                <w:sz w:val="21"/>
                <w:szCs w:val="21"/>
                <w:lang w:val="en-US" w:eastAsia="zh-CN"/>
              </w:rPr>
            </w:pPr>
          </w:p>
          <w:p>
            <w:pPr>
              <w:widowControl w:val="0"/>
              <w:wordWrap/>
              <w:adjustRightInd/>
              <w:snapToGrid w:val="0"/>
              <w:spacing w:line="360" w:lineRule="auto"/>
              <w:jc w:val="left"/>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行政许可处：</w:t>
            </w:r>
            <w:r>
              <w:rPr>
                <w:rFonts w:hint="eastAsia" w:ascii="楷体_GB2312" w:hAnsi="楷体_GB2312" w:eastAsia="楷体_GB2312" w:cs="楷体_GB2312"/>
                <w:sz w:val="24"/>
                <w:szCs w:val="24"/>
                <w:u w:val="single" w:color="auto"/>
                <w:lang w:val="en-US" w:eastAsia="zh-CN"/>
              </w:rPr>
              <w:t xml:space="preserve">                                               </w:t>
            </w:r>
          </w:p>
          <w:p>
            <w:pPr>
              <w:widowControl w:val="0"/>
              <w:wordWrap/>
              <w:adjustRightInd/>
              <w:snapToGrid w:val="0"/>
              <w:spacing w:line="360" w:lineRule="auto"/>
              <w:jc w:val="left"/>
              <w:rPr>
                <w:rFonts w:hint="eastAsia" w:ascii="楷体_GB2312" w:hAnsi="楷体_GB2312" w:eastAsia="楷体_GB2312" w:cs="楷体_GB2312"/>
                <w:sz w:val="24"/>
                <w:szCs w:val="24"/>
                <w:lang w:val="en-US" w:eastAsia="zh-CN"/>
              </w:rPr>
            </w:pPr>
            <w:r>
              <w:rPr>
                <w:rFonts w:hint="eastAsia" w:ascii="楷体_GB2312" w:hAnsi="楷体_GB2312" w:eastAsia="楷体_GB2312" w:cs="楷体_GB2312"/>
                <w:sz w:val="24"/>
                <w:szCs w:val="24"/>
                <w:lang w:val="en-US" w:eastAsia="zh-CN"/>
              </w:rPr>
              <w:t>业务监管处：</w:t>
            </w:r>
            <w:r>
              <w:rPr>
                <w:rFonts w:hint="eastAsia" w:ascii="楷体_GB2312" w:hAnsi="楷体_GB2312" w:eastAsia="楷体_GB2312" w:cs="楷体_GB2312"/>
                <w:sz w:val="24"/>
                <w:szCs w:val="24"/>
                <w:u w:val="single" w:color="auto"/>
                <w:lang w:val="en-US" w:eastAsia="zh-CN"/>
              </w:rPr>
              <w:t xml:space="preserve">                                               </w:t>
            </w:r>
          </w:p>
          <w:p>
            <w:pPr>
              <w:widowControl w:val="0"/>
              <w:wordWrap/>
              <w:adjustRightInd/>
              <w:snapToGrid w:val="0"/>
              <w:spacing w:line="360" w:lineRule="auto"/>
              <w:jc w:val="left"/>
              <w:rPr>
                <w:rFonts w:hint="eastAsia" w:ascii="楷体_GB2312" w:hAnsi="楷体_GB2312" w:eastAsia="楷体_GB2312" w:cs="楷体_GB2312"/>
                <w:sz w:val="24"/>
                <w:szCs w:val="24"/>
                <w:u w:val="single" w:color="auto"/>
                <w:lang w:val="en-US" w:eastAsia="zh-CN"/>
              </w:rPr>
            </w:pPr>
            <w:r>
              <w:rPr>
                <w:rFonts w:hint="eastAsia" w:ascii="楷体_GB2312" w:hAnsi="楷体_GB2312" w:eastAsia="楷体_GB2312" w:cs="楷体_GB2312"/>
                <w:sz w:val="24"/>
                <w:szCs w:val="24"/>
                <w:lang w:val="en-US" w:eastAsia="zh-CN"/>
              </w:rPr>
              <w:t>政策法规处：</w:t>
            </w:r>
            <w:r>
              <w:rPr>
                <w:rFonts w:hint="eastAsia" w:ascii="楷体_GB2312" w:hAnsi="楷体_GB2312" w:eastAsia="楷体_GB2312" w:cs="楷体_GB2312"/>
                <w:sz w:val="24"/>
                <w:szCs w:val="24"/>
                <w:u w:val="single" w:color="auto"/>
                <w:lang w:val="en-US" w:eastAsia="zh-CN"/>
              </w:rPr>
              <w:t xml:space="preserve">                                               </w:t>
            </w:r>
          </w:p>
          <w:p>
            <w:pPr>
              <w:widowControl w:val="0"/>
              <w:wordWrap/>
              <w:adjustRightInd/>
              <w:snapToGrid w:val="0"/>
              <w:spacing w:line="360" w:lineRule="auto"/>
              <w:jc w:val="left"/>
              <w:rPr>
                <w:rFonts w:hint="eastAsia" w:ascii="楷体_GB2312" w:hAnsi="楷体_GB2312" w:eastAsia="楷体_GB2312" w:cs="楷体_GB2312"/>
                <w:sz w:val="24"/>
                <w:szCs w:val="24"/>
                <w:u w:val="single" w:color="auto"/>
                <w:lang w:val="en-US" w:eastAsia="zh-CN"/>
              </w:rPr>
            </w:pPr>
            <w:r>
              <w:rPr>
                <w:rFonts w:hint="eastAsia" w:ascii="楷体_GB2312" w:hAnsi="楷体_GB2312" w:eastAsia="楷体_GB2312" w:cs="楷体_GB2312"/>
                <w:sz w:val="24"/>
                <w:szCs w:val="24"/>
                <w:lang w:val="en-US" w:eastAsia="zh-CN"/>
              </w:rPr>
              <w:t>审核查验中心：</w:t>
            </w:r>
            <w:r>
              <w:rPr>
                <w:rFonts w:hint="eastAsia" w:ascii="楷体_GB2312" w:hAnsi="楷体_GB2312" w:eastAsia="楷体_GB2312" w:cs="楷体_GB2312"/>
                <w:sz w:val="24"/>
                <w:szCs w:val="24"/>
                <w:u w:val="single" w:color="auto"/>
                <w:lang w:val="en-US" w:eastAsia="zh-CN"/>
              </w:rPr>
              <w:t xml:space="preserve">                                             </w:t>
            </w:r>
          </w:p>
          <w:p>
            <w:pPr>
              <w:widowControl w:val="0"/>
              <w:wordWrap/>
              <w:adjustRightInd/>
              <w:snapToGrid w:val="0"/>
              <w:spacing w:line="360" w:lineRule="auto"/>
              <w:jc w:val="left"/>
              <w:rPr>
                <w:rFonts w:hint="eastAsia" w:ascii="仿宋_GB2312" w:hAnsi="仿宋_GB2312" w:eastAsia="仿宋_GB2312" w:cs="仿宋_GB2312"/>
                <w:sz w:val="28"/>
                <w:szCs w:val="28"/>
                <w:u w:val="none" w:color="auto"/>
                <w:lang w:val="en-US" w:eastAsia="zh-CN"/>
              </w:rPr>
            </w:pPr>
            <w:r>
              <w:rPr>
                <w:rFonts w:hint="eastAsia" w:ascii="楷体_GB2312" w:hAnsi="楷体_GB2312" w:eastAsia="楷体_GB2312" w:cs="楷体_GB2312"/>
                <w:sz w:val="24"/>
                <w:szCs w:val="24"/>
                <w:u w:val="none" w:color="auto"/>
                <w:lang w:val="en-US" w:eastAsia="zh-CN"/>
              </w:rPr>
              <w:t>其他参会单位:</w:t>
            </w:r>
            <w:r>
              <w:rPr>
                <w:rFonts w:hint="eastAsia" w:ascii="楷体_GB2312" w:hAnsi="楷体_GB2312" w:eastAsia="楷体_GB2312" w:cs="楷体_GB2312"/>
                <w:sz w:val="24"/>
                <w:szCs w:val="24"/>
                <w:u w:val="single" w:color="auto"/>
                <w:lang w:val="en-US" w:eastAsia="zh-CN"/>
              </w:rPr>
              <w:t xml:space="preserve">    </w:t>
            </w:r>
            <w:r>
              <w:rPr>
                <w:rFonts w:hint="eastAsia" w:ascii="仿宋_GB2312" w:hAnsi="仿宋_GB2312" w:eastAsia="仿宋_GB2312" w:cs="仿宋_GB2312"/>
                <w:sz w:val="24"/>
                <w:szCs w:val="24"/>
                <w:u w:val="single" w:color="auto"/>
                <w:lang w:val="en-US" w:eastAsia="zh-CN"/>
              </w:rPr>
              <w:t xml:space="preserve">  </w:t>
            </w:r>
            <w:r>
              <w:rPr>
                <w:rFonts w:hint="eastAsia" w:ascii="仿宋_GB2312" w:hAnsi="仿宋_GB2312" w:eastAsia="仿宋_GB2312" w:cs="仿宋_GB2312"/>
                <w:sz w:val="28"/>
                <w:szCs w:val="28"/>
                <w:u w:val="single" w:color="auto"/>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8" w:hRule="atLeast"/>
          <w:jc w:val="center"/>
        </w:trPr>
        <w:tc>
          <w:tcPr>
            <w:tcW w:w="1127" w:type="dxa"/>
            <w:vAlign w:val="center"/>
          </w:tcPr>
          <w:p>
            <w:pPr>
              <w:widowControl w:val="0"/>
              <w:wordWrap/>
              <w:adjustRightInd/>
              <w:snapToGrid w:val="0"/>
              <w:spacing w:line="400" w:lineRule="exact"/>
              <w:ind w:left="0" w:leftChars="0" w:right="0" w:firstLine="0" w:firstLineChars="0"/>
              <w:jc w:val="center"/>
              <w:textAlignment w:val="auto"/>
              <w:outlineLvl w:val="9"/>
              <w:rPr>
                <w:rFonts w:hint="eastAsia" w:ascii="宋体" w:hAnsi="宋体" w:eastAsia="宋体" w:cs="宋体"/>
                <w:sz w:val="22"/>
                <w:szCs w:val="22"/>
                <w:lang w:val="en-US" w:eastAsia="zh-CN"/>
              </w:rPr>
            </w:pPr>
            <w:r>
              <w:rPr>
                <w:rFonts w:hint="eastAsia" w:ascii="宋体" w:hAnsi="宋体" w:cs="宋体"/>
                <w:sz w:val="22"/>
                <w:szCs w:val="22"/>
                <w:lang w:val="en-US" w:eastAsia="zh-CN"/>
              </w:rPr>
              <w:t>备注</w:t>
            </w:r>
          </w:p>
        </w:tc>
        <w:tc>
          <w:tcPr>
            <w:tcW w:w="8164" w:type="dxa"/>
            <w:gridSpan w:val="3"/>
            <w:vAlign w:val="top"/>
          </w:tcPr>
          <w:p>
            <w:pPr>
              <w:pStyle w:val="12"/>
              <w:widowControl w:val="0"/>
              <w:wordWrap/>
              <w:adjustRightInd/>
              <w:snapToGrid w:val="0"/>
              <w:jc w:val="both"/>
              <w:rPr>
                <w:rFonts w:hint="eastAsia" w:ascii="仿宋_GB2312" w:hAnsi="仿宋_GB2312" w:eastAsia="仿宋_GB2312" w:cs="仿宋_GB2312"/>
                <w:sz w:val="24"/>
                <w:szCs w:val="24"/>
                <w:lang w:val="en-US" w:eastAsia="zh-CN"/>
              </w:rPr>
            </w:pPr>
          </w:p>
        </w:tc>
      </w:tr>
    </w:tbl>
    <w:p>
      <w:pPr>
        <w:widowControl/>
        <w:wordWrap/>
        <w:adjustRightInd/>
        <w:snapToGrid/>
        <w:spacing w:line="580" w:lineRule="exact"/>
        <w:ind w:left="0" w:leftChars="0" w:right="0" w:firstLine="640" w:firstLineChars="200"/>
        <w:jc w:val="left"/>
        <w:textAlignment w:val="auto"/>
        <w:rPr>
          <w:rFonts w:hint="eastAsia" w:ascii="Arial" w:hAnsi="Arial" w:eastAsia="等线" w:cs="Arial"/>
          <w:sz w:val="32"/>
          <w:szCs w:val="32"/>
          <w:lang w:val="en-US" w:eastAsia="zh-CN"/>
        </w:rPr>
      </w:pPr>
    </w:p>
    <w:sectPr>
      <w:headerReference r:id="rId3" w:type="default"/>
      <w:footerReference r:id="rId4" w:type="default"/>
      <w:pgSz w:w="11905" w:h="16840"/>
      <w:pgMar w:top="1701" w:right="1587" w:bottom="1587"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等线">
    <w:altName w:val="Noto Sans CJK HK"/>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sans-serif">
    <w:altName w:val="仿宋"/>
    <w:panose1 w:val="00000000000000000000"/>
    <w:charset w:val="00"/>
    <w:family w:val="auto"/>
    <w:pitch w:val="default"/>
    <w:sig w:usb0="00000000" w:usb1="00000000" w:usb2="00000000" w:usb3="00000000" w:csb0="00040001" w:csb1="00000000"/>
  </w:font>
  <w:font w:name="微软雅黑">
    <w:altName w:val="黑体"/>
    <w:panose1 w:val="020B0503020204020204"/>
    <w:charset w:val="86"/>
    <w:family w:val="auto"/>
    <w:pitch w:val="default"/>
    <w:sig w:usb0="00000000" w:usb1="00000000" w:usb2="00000016" w:usb3="00000000" w:csb0="0004001F" w:csb1="00000000"/>
  </w:font>
  <w:font w:name="quote-cjk-patch">
    <w:altName w:val="Noto Sans CJK HK"/>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Noto Sans CJK HK">
    <w:panose1 w:val="020B0600000000000000"/>
    <w:charset w:val="88"/>
    <w:family w:val="auto"/>
    <w:pitch w:val="default"/>
    <w:sig w:usb0="30000083" w:usb1="2BDF3C10" w:usb2="00000016" w:usb3="00000000" w:csb0="603A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ascii="Times New Roman" w:hAnsi="Times New Roman" w:eastAsia="宋体" w:cs="Times New Roman"/>
        <w:kern w:val="2"/>
        <w:sz w:val="21"/>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92D3A5"/>
    <w:multiLevelType w:val="singleLevel"/>
    <w:tmpl w:val="6892D3A5"/>
    <w:lvl w:ilvl="0" w:tentative="0">
      <w:start w:val="4"/>
      <w:numFmt w:val="decimal"/>
      <w:suff w:val="nothing"/>
      <w:lvlText w:val="%1."/>
      <w:lvlJc w:val="left"/>
    </w:lvl>
  </w:abstractNum>
  <w:abstractNum w:abstractNumId="1">
    <w:nsid w:val="692EAFB0"/>
    <w:multiLevelType w:val="singleLevel"/>
    <w:tmpl w:val="692EAFB0"/>
    <w:lvl w:ilvl="0" w:tentative="0">
      <w:start w:val="4"/>
      <w:numFmt w:val="chineseCounting"/>
      <w:suff w:val="nothing"/>
      <w:lvlText w:val="第%1节"/>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false"/>
  <w:bordersDoNotSurroundFooter w:val="false"/>
  <w:documentProtection w:enforcement="0"/>
  <w:defaultTabStop w:val="420"/>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20BE2"/>
    <w:rsid w:val="01EA46B0"/>
    <w:rsid w:val="02E23454"/>
    <w:rsid w:val="06EE0A56"/>
    <w:rsid w:val="0A4444E4"/>
    <w:rsid w:val="0A8420F9"/>
    <w:rsid w:val="0E265444"/>
    <w:rsid w:val="10534754"/>
    <w:rsid w:val="10F320DF"/>
    <w:rsid w:val="16BB130C"/>
    <w:rsid w:val="18A10AF7"/>
    <w:rsid w:val="1A864FB3"/>
    <w:rsid w:val="1FEB638C"/>
    <w:rsid w:val="20DB03F7"/>
    <w:rsid w:val="21E07F4F"/>
    <w:rsid w:val="22AB6FED"/>
    <w:rsid w:val="243200EE"/>
    <w:rsid w:val="24570C99"/>
    <w:rsid w:val="25EA2CC2"/>
    <w:rsid w:val="2783036E"/>
    <w:rsid w:val="289E31B0"/>
    <w:rsid w:val="29986C4B"/>
    <w:rsid w:val="2AD763AE"/>
    <w:rsid w:val="2D2B2655"/>
    <w:rsid w:val="2E150055"/>
    <w:rsid w:val="2F9C692C"/>
    <w:rsid w:val="301C48FC"/>
    <w:rsid w:val="306275EE"/>
    <w:rsid w:val="30A45AD9"/>
    <w:rsid w:val="31CF1D43"/>
    <w:rsid w:val="35A1628C"/>
    <w:rsid w:val="39407871"/>
    <w:rsid w:val="397B655D"/>
    <w:rsid w:val="3A9721AC"/>
    <w:rsid w:val="3AB23168"/>
    <w:rsid w:val="3B246918"/>
    <w:rsid w:val="3C027200"/>
    <w:rsid w:val="3CE1686E"/>
    <w:rsid w:val="3F6474D8"/>
    <w:rsid w:val="3FB86042"/>
    <w:rsid w:val="3FF6CEF8"/>
    <w:rsid w:val="40D432EC"/>
    <w:rsid w:val="412966CE"/>
    <w:rsid w:val="419949A0"/>
    <w:rsid w:val="42C33BE3"/>
    <w:rsid w:val="44410A09"/>
    <w:rsid w:val="48713C67"/>
    <w:rsid w:val="48B46C04"/>
    <w:rsid w:val="49EA3854"/>
    <w:rsid w:val="49FF7F76"/>
    <w:rsid w:val="4A34714B"/>
    <w:rsid w:val="4FCF4E7E"/>
    <w:rsid w:val="50147B70"/>
    <w:rsid w:val="501F5F01"/>
    <w:rsid w:val="514D52EF"/>
    <w:rsid w:val="517E1341"/>
    <w:rsid w:val="535B75CD"/>
    <w:rsid w:val="542B7CA6"/>
    <w:rsid w:val="548947BC"/>
    <w:rsid w:val="55AF7E22"/>
    <w:rsid w:val="57204320"/>
    <w:rsid w:val="58F74742"/>
    <w:rsid w:val="5BB409B1"/>
    <w:rsid w:val="5C1649D6"/>
    <w:rsid w:val="5D4B0B1D"/>
    <w:rsid w:val="5FB16D0D"/>
    <w:rsid w:val="60AB795C"/>
    <w:rsid w:val="62934847"/>
    <w:rsid w:val="641920C5"/>
    <w:rsid w:val="6521617A"/>
    <w:rsid w:val="69891532"/>
    <w:rsid w:val="6B5A722E"/>
    <w:rsid w:val="6B5B0921"/>
    <w:rsid w:val="6BAA4A2F"/>
    <w:rsid w:val="6BE006B6"/>
    <w:rsid w:val="6D7D7EAE"/>
    <w:rsid w:val="6EBE1E3F"/>
    <w:rsid w:val="6FE55124"/>
    <w:rsid w:val="71A86F83"/>
    <w:rsid w:val="72A823A9"/>
    <w:rsid w:val="755E34B2"/>
    <w:rsid w:val="783E1A56"/>
    <w:rsid w:val="7D2C636B"/>
    <w:rsid w:val="7D772F67"/>
    <w:rsid w:val="7DC31D62"/>
    <w:rsid w:val="7F066EF6"/>
    <w:rsid w:val="D7FFF334"/>
    <w:rsid w:val="DFEF8F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iPriority="99" w:semiHidden="0" w:name="heading 1"/>
    <w:lsdException w:qFormat="1" w:uiPriority="99" w:semiHidden="0" w:name="heading 2"/>
    <w:lsdException w:qFormat="1" w:uiPriority="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qFormat="1" w:uiPriority="99"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iPriority="99" w:semiHidden="0" w:name="Strong"/>
    <w:lsdException w:uiPriority="99"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lang w:val="en-US" w:eastAsia="zh-CN" w:bidi="ar-SA"/>
    </w:rPr>
  </w:style>
  <w:style w:type="paragraph" w:styleId="2">
    <w:name w:val="heading 1"/>
    <w:basedOn w:val="1"/>
    <w:next w:val="1"/>
    <w:unhideWhenUsed/>
    <w:qFormat/>
    <w:uiPriority w:val="99"/>
    <w:pPr>
      <w:spacing w:before="0" w:beforeAutospacing="1" w:after="0" w:afterAutospacing="1"/>
      <w:jc w:val="left"/>
    </w:pPr>
    <w:rPr>
      <w:rFonts w:hint="eastAsia" w:ascii="宋体" w:hAnsi="宋体" w:eastAsia="宋体" w:cs="宋体"/>
      <w:b/>
      <w:kern w:val="44"/>
      <w:sz w:val="48"/>
      <w:szCs w:val="48"/>
      <w:lang w:val="en-US" w:eastAsia="zh-CN" w:bidi="ar-SA"/>
    </w:rPr>
  </w:style>
  <w:style w:type="paragraph" w:styleId="3">
    <w:name w:val="heading 2"/>
    <w:basedOn w:val="1"/>
    <w:next w:val="1"/>
    <w:unhideWhenUsed/>
    <w:qFormat/>
    <w:uiPriority w:val="99"/>
    <w:pPr>
      <w:spacing w:before="100" w:beforeAutospacing="1" w:after="100" w:afterAutospacing="1"/>
      <w:jc w:val="left"/>
      <w:outlineLvl w:val="1"/>
    </w:pPr>
    <w:rPr>
      <w:rFonts w:hint="eastAsia" w:ascii="宋体" w:hAnsi="宋体" w:eastAsia="宋体" w:cs="宋体"/>
      <w:b/>
      <w:bCs/>
      <w:kern w:val="0"/>
      <w:sz w:val="36"/>
      <w:szCs w:val="36"/>
      <w:lang w:val="en-US" w:eastAsia="zh-CN"/>
    </w:rPr>
  </w:style>
  <w:style w:type="paragraph" w:styleId="4">
    <w:name w:val="heading 3"/>
    <w:basedOn w:val="1"/>
    <w:next w:val="1"/>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SA"/>
    </w:rPr>
  </w:style>
  <w:style w:type="character" w:default="1" w:styleId="10">
    <w:name w:val="Default Paragraph Font"/>
    <w:unhideWhenUsed/>
    <w:qFormat/>
    <w:uiPriority w:val="99"/>
  </w:style>
  <w:style w:type="table" w:default="1" w:styleId="8">
    <w:name w:val="Normal Table"/>
    <w:unhideWhenUsed/>
    <w:qFormat/>
    <w:uiPriority w:val="99"/>
    <w:tblPr>
      <w:tblCellMar>
        <w:top w:w="0" w:type="dxa"/>
        <w:left w:w="108" w:type="dxa"/>
        <w:bottom w:w="0" w:type="dxa"/>
        <w:right w:w="108" w:type="dxa"/>
      </w:tblCellMar>
    </w:tblPr>
  </w:style>
  <w:style w:type="paragraph" w:styleId="5">
    <w:name w:val="footer"/>
    <w:basedOn w:val="1"/>
    <w:unhideWhenUsed/>
    <w:qFormat/>
    <w:uiPriority w:val="99"/>
    <w:pPr>
      <w:tabs>
        <w:tab w:val="center" w:pos="4153"/>
        <w:tab w:val="right" w:pos="8306"/>
      </w:tabs>
      <w:snapToGrid w:val="0"/>
      <w:jc w:val="left"/>
    </w:pPr>
    <w:rPr>
      <w:sz w:val="18"/>
    </w:rPr>
  </w:style>
  <w:style w:type="paragraph" w:styleId="6">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unhideWhenUsed/>
    <w:qFormat/>
    <w:uiPriority w:val="99"/>
    <w:rPr>
      <w:sz w:val="24"/>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unhideWhenUsed/>
    <w:qFormat/>
    <w:uiPriority w:val="99"/>
    <w:rPr>
      <w:b/>
    </w:rPr>
  </w:style>
  <w:style w:type="paragraph" w:customStyle="1" w:styleId="12">
    <w:name w:val="UserStyle_0"/>
    <w:qFormat/>
    <w:uiPriority w:val="0"/>
    <w:pPr>
      <w:textAlignment w:val="baseline"/>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0</Words>
  <Characters>0</Characters>
  <Lines>0</Lines>
  <Paragraphs>0</Paragraphs>
  <TotalTime>29</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2025-12-03T22:26:00Z</dcterms:created>
  <dc:creator>Apache POI</dc:creator>
  <cp:lastModifiedBy>user</cp:lastModifiedBy>
  <cp:lastPrinted>2026-05-19T19:36:00Z</cp:lastPrinted>
  <dcterms:modified xsi:type="dcterms:W3CDTF">2026-06-15T14:12:30Z</dcterms:modified>
  <dc:title>甘肃省药品监督管理局行政许可管理办法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E30D6E0ED7F2D99357700D6A2B559C51_42</vt:lpwstr>
  </property>
</Properties>
</file>