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C4892">
      <w:pPr>
        <w:spacing w:after="49" w:line="240" w:lineRule="auto"/>
        <w:jc w:val="both"/>
        <w:rPr>
          <w:rFonts w:ascii="Calibri" w:hAnsi="Calibri" w:eastAsia="Calibri" w:cs="Calibri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 w14:paraId="1DE8C134">
      <w:pPr>
        <w:spacing w:after="48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 w14:paraId="0B930692">
      <w:pPr>
        <w:spacing w:after="49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 w14:paraId="145377E1">
      <w:pPr>
        <w:spacing w:after="49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 w14:paraId="15EF3270">
      <w:pPr>
        <w:spacing w:after="48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 w14:paraId="648761B9">
      <w:pPr>
        <w:spacing w:after="57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</w:p>
    <w:p w14:paraId="5EC83536">
      <w:pPr>
        <w:spacing w:line="360" w:lineRule="auto"/>
        <w:jc w:val="center"/>
        <w:rPr>
          <w:rFonts w:ascii="宋体" w:hAnsi="宋体" w:eastAsia="宋体" w:cs="宋体"/>
          <w:b/>
          <w:sz w:val="52"/>
        </w:rPr>
      </w:pPr>
      <w:r>
        <w:rPr>
          <w:rFonts w:hint="eastAsia" w:ascii="宋体" w:hAnsi="宋体" w:eastAsia="宋体" w:cs="宋体"/>
          <w:b/>
          <w:sz w:val="52"/>
          <w:lang w:eastAsia="zh-CN"/>
        </w:rPr>
        <w:t>辽宁省药品耗材</w:t>
      </w:r>
      <w:r>
        <w:rPr>
          <w:rFonts w:hint="eastAsia" w:ascii="宋体" w:hAnsi="宋体" w:eastAsia="宋体" w:cs="宋体"/>
          <w:b/>
          <w:sz w:val="52"/>
        </w:rPr>
        <w:t>招采子系统</w:t>
      </w:r>
    </w:p>
    <w:p w14:paraId="4971A86D">
      <w:pPr>
        <w:spacing w:line="360" w:lineRule="auto"/>
        <w:jc w:val="center"/>
        <w:rPr>
          <w:rFonts w:hint="default" w:ascii="宋体" w:hAnsi="宋体" w:eastAsia="宋体" w:cs="宋体"/>
          <w:b/>
          <w:sz w:val="52"/>
          <w:lang w:val="en-US" w:eastAsia="zh-CN"/>
        </w:rPr>
      </w:pPr>
      <w:r>
        <w:rPr>
          <w:rFonts w:hint="eastAsia" w:ascii="宋体" w:hAnsi="宋体" w:eastAsia="宋体" w:cs="宋体"/>
          <w:b/>
          <w:sz w:val="52"/>
          <w:lang w:val="en-US" w:eastAsia="zh-CN"/>
        </w:rPr>
        <w:t>直接结算模块操作手册</w:t>
      </w:r>
    </w:p>
    <w:p w14:paraId="36ADAF58">
      <w:pPr>
        <w:spacing w:line="360" w:lineRule="auto"/>
        <w:jc w:val="center"/>
        <w:rPr>
          <w:rFonts w:ascii="宋体" w:hAnsi="宋体" w:eastAsia="宋体" w:cs="宋体"/>
          <w:sz w:val="52"/>
        </w:rPr>
      </w:pPr>
    </w:p>
    <w:p w14:paraId="56B788C0">
      <w:pPr>
        <w:spacing w:line="360" w:lineRule="auto"/>
        <w:jc w:val="center"/>
        <w:rPr>
          <w:rFonts w:ascii="宋体" w:hAnsi="宋体" w:eastAsia="宋体" w:cs="宋体"/>
          <w:sz w:val="52"/>
        </w:rPr>
      </w:pPr>
    </w:p>
    <w:p w14:paraId="4F33E0A2">
      <w:pPr>
        <w:spacing w:line="360" w:lineRule="auto"/>
        <w:jc w:val="center"/>
        <w:rPr>
          <w:rFonts w:ascii="宋体" w:hAnsi="宋体" w:eastAsia="宋体" w:cs="宋体"/>
          <w:sz w:val="52"/>
        </w:rPr>
      </w:pPr>
    </w:p>
    <w:p w14:paraId="7F8225AD">
      <w:pPr>
        <w:spacing w:line="360" w:lineRule="auto"/>
        <w:ind w:right="520"/>
        <w:jc w:val="center"/>
        <w:rPr>
          <w:rFonts w:ascii="宋体" w:hAnsi="宋体" w:eastAsia="宋体" w:cs="宋体"/>
          <w:sz w:val="44"/>
        </w:rPr>
      </w:pPr>
      <w:r>
        <w:rPr>
          <w:rFonts w:ascii="宋体" w:hAnsi="宋体" w:eastAsia="宋体" w:cs="宋体"/>
          <w:sz w:val="30"/>
        </w:rPr>
        <w:t xml:space="preserve"> </w:t>
      </w:r>
      <w:r>
        <w:rPr>
          <w:rFonts w:ascii="宋体" w:hAnsi="宋体" w:eastAsia="宋体" w:cs="宋体"/>
          <w:sz w:val="44"/>
        </w:rPr>
        <w:t xml:space="preserve">  </w:t>
      </w:r>
      <w:r>
        <w:rPr>
          <w:rFonts w:hint="eastAsia" w:ascii="宋体" w:hAnsi="宋体" w:eastAsia="宋体" w:cs="宋体"/>
          <w:sz w:val="44"/>
          <w:lang w:eastAsia="zh-CN"/>
        </w:rPr>
        <w:t>医药</w:t>
      </w:r>
      <w:r>
        <w:rPr>
          <w:rFonts w:hint="eastAsia" w:ascii="宋体" w:hAnsi="宋体" w:eastAsia="宋体" w:cs="宋体"/>
          <w:sz w:val="44"/>
          <w:lang w:val="en-US" w:eastAsia="zh-CN"/>
        </w:rPr>
        <w:t>企业分</w:t>
      </w:r>
      <w:r>
        <w:rPr>
          <w:rFonts w:ascii="宋体" w:hAnsi="宋体" w:eastAsia="宋体" w:cs="宋体"/>
          <w:sz w:val="44"/>
        </w:rPr>
        <w:t>册</w:t>
      </w:r>
    </w:p>
    <w:p w14:paraId="0DD9E408">
      <w:pPr>
        <w:spacing w:line="360" w:lineRule="auto"/>
        <w:ind w:right="520"/>
        <w:jc w:val="center"/>
        <w:rPr>
          <w:rFonts w:ascii="宋体" w:hAnsi="宋体" w:eastAsia="宋体" w:cs="宋体"/>
          <w:sz w:val="30"/>
        </w:rPr>
      </w:pPr>
    </w:p>
    <w:p w14:paraId="36FC7069">
      <w:pPr>
        <w:spacing w:line="360" w:lineRule="auto"/>
        <w:ind w:right="520"/>
        <w:jc w:val="center"/>
        <w:rPr>
          <w:rFonts w:ascii="宋体" w:hAnsi="宋体" w:eastAsia="宋体" w:cs="宋体"/>
          <w:sz w:val="30"/>
        </w:rPr>
      </w:pPr>
    </w:p>
    <w:p w14:paraId="38FAD280">
      <w:pPr>
        <w:spacing w:line="360" w:lineRule="auto"/>
        <w:ind w:right="520"/>
        <w:jc w:val="center"/>
        <w:rPr>
          <w:rFonts w:ascii="宋体" w:hAnsi="宋体" w:eastAsia="宋体" w:cs="宋体"/>
          <w:sz w:val="30"/>
        </w:rPr>
      </w:pPr>
    </w:p>
    <w:p w14:paraId="4F4C4012">
      <w:pPr>
        <w:spacing w:line="360" w:lineRule="auto"/>
        <w:ind w:right="520"/>
        <w:jc w:val="center"/>
        <w:rPr>
          <w:rFonts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 xml:space="preserve"> </w:t>
      </w:r>
    </w:p>
    <w:p w14:paraId="279F7F44">
      <w:pPr>
        <w:spacing w:line="360" w:lineRule="auto"/>
        <w:ind w:right="520"/>
        <w:jc w:val="both"/>
        <w:rPr>
          <w:rFonts w:ascii="宋体" w:hAnsi="宋体" w:eastAsia="宋体" w:cs="宋体"/>
          <w:sz w:val="30"/>
        </w:rPr>
      </w:pPr>
      <w:r>
        <w:rPr>
          <w:rFonts w:ascii="宋体" w:hAnsi="宋体" w:eastAsia="宋体" w:cs="宋体"/>
          <w:sz w:val="30"/>
        </w:rPr>
        <w:t xml:space="preserve"> </w:t>
      </w:r>
    </w:p>
    <w:p w14:paraId="748C310E">
      <w:pPr>
        <w:spacing w:before="187"/>
        <w:jc w:val="both"/>
        <w:rPr>
          <w:rFonts w:ascii="Times New Roman" w:hAnsi="Times New Roman" w:eastAsia="Times New Roman" w:cs="Times New Roman"/>
          <w:sz w:val="20"/>
        </w:rPr>
      </w:pPr>
      <w:r>
        <w:rPr>
          <w:rFonts w:hint="eastAsia" w:ascii="宋体" w:hAnsi="宋体" w:eastAsia="宋体" w:cs="宋体"/>
          <w:sz w:val="32"/>
        </w:rPr>
        <w:t xml:space="preserve"> </w:t>
      </w:r>
      <w:r>
        <w:fldChar w:fldCharType="begin"/>
      </w:r>
      <w:r>
        <w:fldChar w:fldCharType="separate"/>
      </w:r>
      <w:r>
        <w:rPr>
          <w:rFonts w:ascii="Times New Roman" w:hAnsi="Times New Roman" w:eastAsia="Times New Roman" w:cs="Times New Roman"/>
          <w:sz w:val="20"/>
        </w:rPr>
        <w:t>22</w:t>
      </w:r>
      <w:r>
        <w:fldChar w:fldCharType="end"/>
      </w:r>
    </w:p>
    <w:p w14:paraId="5565CD08">
      <w:pPr>
        <w:spacing w:line="360" w:lineRule="auto"/>
        <w:jc w:val="both"/>
        <w:rPr>
          <w:rFonts w:hint="eastAsia" w:ascii="宋体" w:hAnsi="宋体" w:eastAsia="宋体" w:cs="宋体"/>
          <w:b/>
          <w:sz w:val="52"/>
          <w:lang w:val="en-US" w:eastAsia="zh-CN"/>
        </w:rPr>
      </w:pPr>
    </w:p>
    <w:p w14:paraId="0807EF1F">
      <w:pPr>
        <w:spacing w:line="360" w:lineRule="auto"/>
        <w:jc w:val="both"/>
        <w:rPr>
          <w:rFonts w:hint="eastAsia" w:ascii="宋体" w:hAnsi="宋体" w:eastAsia="宋体" w:cs="宋体"/>
          <w:b/>
          <w:sz w:val="52"/>
          <w:lang w:val="en-US" w:eastAsia="zh-CN"/>
        </w:rPr>
      </w:pPr>
    </w:p>
    <w:p w14:paraId="63B93B31">
      <w:pPr>
        <w:spacing w:line="360" w:lineRule="auto"/>
        <w:jc w:val="center"/>
        <w:rPr>
          <w:rFonts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b/>
          <w:sz w:val="52"/>
          <w:lang w:val="en-US" w:eastAsia="zh-CN"/>
        </w:rPr>
        <w:t>说明</w:t>
      </w:r>
    </w:p>
    <w:p w14:paraId="5E368E70">
      <w:pPr>
        <w:spacing w:line="360" w:lineRule="auto"/>
        <w:jc w:val="both"/>
        <w:rPr>
          <w:rFonts w:ascii="宋体" w:hAnsi="宋体" w:eastAsia="宋体" w:cs="宋体"/>
          <w:sz w:val="30"/>
        </w:rPr>
      </w:pPr>
      <w:r>
        <w:rPr>
          <w:rFonts w:ascii="宋体" w:hAnsi="宋体" w:eastAsia="宋体" w:cs="宋体"/>
          <w:sz w:val="30"/>
        </w:rPr>
        <w:t>关于这本用户手册</w:t>
      </w:r>
    </w:p>
    <w:p w14:paraId="15C6F470">
      <w:pPr>
        <w:spacing w:line="360" w:lineRule="auto"/>
        <w:ind w:firstLine="675" w:firstLineChars="225"/>
        <w:jc w:val="both"/>
        <w:rPr>
          <w:rFonts w:ascii="宋体" w:hAnsi="宋体" w:eastAsia="宋体" w:cs="宋体"/>
          <w:sz w:val="30"/>
        </w:rPr>
      </w:pPr>
      <w:r>
        <w:rPr>
          <w:rFonts w:ascii="宋体" w:hAnsi="宋体" w:eastAsia="宋体" w:cs="宋体"/>
          <w:sz w:val="30"/>
        </w:rPr>
        <w:t>该用户手册包含了您在使用辽宁省</w:t>
      </w:r>
      <w:r>
        <w:rPr>
          <w:rFonts w:hint="eastAsia" w:ascii="宋体" w:hAnsi="宋体" w:eastAsia="宋体" w:cs="宋体"/>
          <w:sz w:val="30"/>
          <w:lang w:val="en-US" w:eastAsia="zh-CN"/>
        </w:rPr>
        <w:t>药品和医用耗材</w:t>
      </w:r>
      <w:r>
        <w:rPr>
          <w:rFonts w:ascii="宋体" w:hAnsi="宋体" w:eastAsia="宋体" w:cs="宋体"/>
          <w:sz w:val="30"/>
        </w:rPr>
        <w:t>网上</w:t>
      </w:r>
      <w:r>
        <w:rPr>
          <w:rFonts w:hint="eastAsia" w:ascii="宋体" w:hAnsi="宋体" w:eastAsia="宋体" w:cs="宋体"/>
          <w:sz w:val="30"/>
          <w:lang w:val="en-US" w:eastAsia="zh-CN"/>
        </w:rPr>
        <w:t>结算功能</w:t>
      </w:r>
      <w:r>
        <w:rPr>
          <w:rFonts w:ascii="宋体" w:hAnsi="宋体" w:eastAsia="宋体" w:cs="宋体"/>
          <w:sz w:val="30"/>
        </w:rPr>
        <w:t>时所需了解的信息。手册中所出现的用户名称及相关数据均为系统测试数据，不作为任何正式采购的依据，在本系统正式使用前将予以清除。</w:t>
      </w:r>
    </w:p>
    <w:p w14:paraId="483F471F">
      <w:pPr>
        <w:spacing w:line="360" w:lineRule="auto"/>
        <w:jc w:val="both"/>
        <w:rPr>
          <w:rFonts w:ascii="宋体" w:hAnsi="宋体" w:cs="宋体"/>
          <w:sz w:val="30"/>
        </w:rPr>
      </w:pPr>
      <w:r>
        <w:br w:type="page"/>
      </w:r>
    </w:p>
    <w:p w14:paraId="33C39688">
      <w:pPr>
        <w:spacing w:after="438" w:line="240" w:lineRule="auto"/>
        <w:ind w:left="48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bookmarkStart w:id="0" w:name="_GoBack"/>
      <w:bookmarkEnd w:id="0"/>
    </w:p>
    <w:p w14:paraId="5981DA1B">
      <w:pPr>
        <w:pStyle w:val="3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1.1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票据管理</w:t>
      </w:r>
    </w:p>
    <w:p w14:paraId="17A90B24">
      <w:pPr>
        <w:pStyle w:val="4"/>
        <w:rPr>
          <w:rFonts w:hint="eastAsia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1.1.1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票据维护</w:t>
      </w:r>
    </w:p>
    <w:p w14:paraId="42856092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点击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左侧菜单</w:t>
      </w:r>
      <w:r>
        <w:rPr>
          <w:rFonts w:hint="eastAsia" w:ascii="宋体" w:hAnsi="宋体" w:eastAsia="宋体"/>
          <w:sz w:val="28"/>
          <w:szCs w:val="28"/>
          <w:lang w:eastAsia="zh-CN"/>
        </w:rPr>
        <w:t>【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票据管理】</w:t>
      </w:r>
      <w:r>
        <w:rPr>
          <w:rFonts w:hint="eastAsia" w:ascii="宋体" w:hAnsi="宋体" w:eastAsia="宋体"/>
          <w:sz w:val="28"/>
          <w:szCs w:val="28"/>
        </w:rPr>
        <w:t>-</w:t>
      </w:r>
      <w:r>
        <w:rPr>
          <w:rFonts w:hint="eastAsia" w:ascii="宋体" w:hAnsi="宋体" w:eastAsia="宋体"/>
          <w:sz w:val="28"/>
          <w:szCs w:val="28"/>
          <w:lang w:eastAsia="zh-CN"/>
        </w:rPr>
        <w:t>【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票据维护】</w:t>
      </w:r>
      <w:r>
        <w:rPr>
          <w:rFonts w:hint="eastAsia" w:ascii="宋体" w:hAnsi="宋体" w:eastAsia="宋体"/>
          <w:sz w:val="28"/>
          <w:szCs w:val="28"/>
        </w:rPr>
        <w:t>，进入页面内。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本页面展示配送企业维护的全部发票信息，配送企业可以新增、修改、删除或批量导入发票信息。</w:t>
      </w:r>
    </w:p>
    <w:p w14:paraId="2B26926C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drawing>
          <wp:inline distT="0" distB="0" distL="114300" distR="114300">
            <wp:extent cx="5650865" cy="1848485"/>
            <wp:effectExtent l="0" t="0" r="698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0865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CDCB9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票据维护页面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</w:p>
    <w:p w14:paraId="2CFC9F1C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694DE62C"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点击【新增发票】按钮，</w:t>
      </w:r>
      <w:r>
        <w:rPr>
          <w:rFonts w:hint="eastAsia" w:ascii="宋体" w:hAnsi="宋体" w:eastAsia="宋体"/>
          <w:sz w:val="28"/>
          <w:szCs w:val="28"/>
        </w:rPr>
        <w:t>进入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新增发票</w:t>
      </w:r>
      <w:r>
        <w:rPr>
          <w:rFonts w:hint="eastAsia" w:ascii="宋体" w:hAnsi="宋体" w:eastAsia="宋体"/>
          <w:sz w:val="28"/>
          <w:szCs w:val="28"/>
        </w:rPr>
        <w:t>页面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</w:p>
    <w:p w14:paraId="2A5B4746">
      <w:r>
        <w:drawing>
          <wp:inline distT="0" distB="0" distL="114300" distR="114300">
            <wp:extent cx="5652770" cy="2007870"/>
            <wp:effectExtent l="0" t="0" r="508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2770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F1E92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新增发票页面</w:t>
      </w:r>
      <w:r>
        <w:rPr>
          <w:rFonts w:hint="eastAsia"/>
          <w:lang w:eastAsia="zh-CN"/>
        </w:rPr>
        <w:t>）</w:t>
      </w:r>
    </w:p>
    <w:p w14:paraId="07DD5159">
      <w:pPr>
        <w:jc w:val="center"/>
        <w:rPr>
          <w:rFonts w:hint="eastAsia"/>
          <w:lang w:eastAsia="zh-CN"/>
        </w:rPr>
      </w:pPr>
    </w:p>
    <w:p w14:paraId="3DB59AFD"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点击【批量导入发票信息】按钮和【批量上传发票图片】按钮，用户可以按页面提示内容批量导入发票内容。</w:t>
      </w:r>
    </w:p>
    <w:p w14:paraId="30B94236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658485" cy="1873885"/>
            <wp:effectExtent l="0" t="0" r="1841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1CADF">
      <w:pPr>
        <w:jc w:val="center"/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（批量导入发票信息页面）</w:t>
      </w:r>
      <w:r>
        <w:drawing>
          <wp:inline distT="0" distB="0" distL="114300" distR="114300">
            <wp:extent cx="5656580" cy="1994535"/>
            <wp:effectExtent l="0" t="0" r="127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658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D14F6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批量上传发票图片页面</w:t>
      </w:r>
      <w:r>
        <w:rPr>
          <w:rFonts w:hint="eastAsia"/>
          <w:lang w:eastAsia="zh-CN"/>
        </w:rPr>
        <w:t>）</w:t>
      </w:r>
    </w:p>
    <w:p w14:paraId="1EB969FC">
      <w:pPr>
        <w:jc w:val="center"/>
        <w:rPr>
          <w:rFonts w:hint="eastAsia"/>
          <w:lang w:eastAsia="zh-CN"/>
        </w:rPr>
      </w:pPr>
    </w:p>
    <w:p w14:paraId="6C09F486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点击【批量删除发票】按钮可以批量删除勾选的发票信息。</w:t>
      </w:r>
    </w:p>
    <w:p w14:paraId="044EF07B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5F99479A">
      <w:pPr>
        <w:widowControl/>
        <w:snapToGrid/>
        <w:spacing w:before="0" w:after="0" w:line="240" w:lineRule="auto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/>
          <w:sz w:val="28"/>
          <w:szCs w:val="28"/>
        </w:rPr>
        <w:t>注意事项：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若发票信息已与交易明细关联，则无法删除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。</w:t>
      </w:r>
    </w:p>
    <w:p w14:paraId="3513A39C">
      <w:pPr>
        <w:widowControl/>
        <w:snapToGrid/>
        <w:spacing w:before="0" w:after="0" w:line="240" w:lineRule="auto"/>
        <w:rPr>
          <w:rFonts w:ascii="宋体" w:hAnsi="宋体" w:eastAsia="宋体" w:cs="宋体"/>
          <w:color w:val="auto"/>
          <w:kern w:val="0"/>
          <w:sz w:val="24"/>
          <w:szCs w:val="24"/>
        </w:rPr>
      </w:pPr>
    </w:p>
    <w:p w14:paraId="46906B65">
      <w:pPr>
        <w:widowControl/>
        <w:snapToGrid/>
        <w:spacing w:before="0" w:after="0" w:line="240" w:lineRule="auto"/>
        <w:rPr>
          <w:rFonts w:ascii="宋体" w:hAnsi="宋体" w:eastAsia="宋体" w:cs="宋体"/>
          <w:color w:val="auto"/>
          <w:kern w:val="0"/>
          <w:sz w:val="24"/>
          <w:szCs w:val="24"/>
        </w:rPr>
      </w:pPr>
    </w:p>
    <w:p w14:paraId="5D0ED07A">
      <w:pPr>
        <w:pStyle w:val="3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1.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2按明细发货</w:t>
      </w:r>
    </w:p>
    <w:p w14:paraId="5FCC16A7">
      <w:pPr>
        <w:pStyle w:val="4"/>
        <w:rPr>
          <w:rFonts w:hint="eastAsia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1.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/>
          <w:sz w:val="30"/>
          <w:szCs w:val="30"/>
        </w:rPr>
        <w:t>.1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待发货</w:t>
      </w:r>
    </w:p>
    <w:p w14:paraId="15E759ED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点击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左侧菜单</w:t>
      </w:r>
      <w:r>
        <w:rPr>
          <w:rFonts w:hint="eastAsia" w:ascii="宋体" w:hAnsi="宋体" w:eastAsia="宋体"/>
          <w:sz w:val="28"/>
          <w:szCs w:val="28"/>
          <w:lang w:eastAsia="zh-CN"/>
        </w:rPr>
        <w:t>【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发货退货管理】</w:t>
      </w:r>
      <w:r>
        <w:rPr>
          <w:rFonts w:hint="eastAsia" w:ascii="宋体" w:hAnsi="宋体" w:eastAsia="宋体"/>
          <w:sz w:val="28"/>
          <w:szCs w:val="28"/>
        </w:rPr>
        <w:t>-</w:t>
      </w:r>
      <w:r>
        <w:rPr>
          <w:rFonts w:hint="eastAsia" w:ascii="宋体" w:hAnsi="宋体" w:eastAsia="宋体"/>
          <w:sz w:val="28"/>
          <w:szCs w:val="28"/>
          <w:lang w:eastAsia="zh-CN"/>
        </w:rPr>
        <w:t>【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按明细发货】</w:t>
      </w:r>
      <w:r>
        <w:rPr>
          <w:rFonts w:hint="eastAsia" w:ascii="宋体" w:hAnsi="宋体" w:eastAsia="宋体"/>
          <w:sz w:val="28"/>
          <w:szCs w:val="28"/>
        </w:rPr>
        <w:t>，进入页面内。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本页面展示医药企业已确认待发货的采购记录，医药企业在确认发货时同时点击“选择发票”链接选择已填写的发票明细。</w:t>
      </w:r>
    </w:p>
    <w:p w14:paraId="164FA0A4">
      <w:pPr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06B60A60">
      <w:pPr>
        <w:widowControl/>
        <w:snapToGrid/>
        <w:spacing w:before="0" w:after="0" w:line="240" w:lineRule="auto"/>
        <w:rPr>
          <w:rFonts w:ascii="宋体" w:hAnsi="宋体" w:eastAsia="宋体" w:cs="宋体"/>
          <w:color w:val="auto"/>
          <w:kern w:val="0"/>
          <w:sz w:val="24"/>
          <w:szCs w:val="24"/>
        </w:rPr>
      </w:pPr>
    </w:p>
    <w:p w14:paraId="17B84810">
      <w:pPr>
        <w:widowControl/>
        <w:snapToGrid/>
        <w:spacing w:before="0" w:after="0" w:line="240" w:lineRule="auto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drawing>
          <wp:inline distT="0" distB="0" distL="114300" distR="114300">
            <wp:extent cx="5656580" cy="2022475"/>
            <wp:effectExtent l="0" t="0" r="1270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6580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E5D2A">
      <w:pPr>
        <w:widowControl/>
        <w:snapToGrid/>
        <w:spacing w:before="0" w:after="0" w:line="240" w:lineRule="auto"/>
        <w:rPr>
          <w:rFonts w:ascii="宋体" w:hAnsi="宋体" w:eastAsia="宋体" w:cs="宋体"/>
          <w:color w:val="auto"/>
          <w:kern w:val="0"/>
          <w:sz w:val="24"/>
          <w:szCs w:val="24"/>
        </w:rPr>
      </w:pPr>
    </w:p>
    <w:p w14:paraId="4777C75B">
      <w:pPr>
        <w:widowControl/>
        <w:snapToGrid/>
        <w:spacing w:before="0" w:after="0" w:line="240" w:lineRule="auto"/>
        <w:rPr>
          <w:rFonts w:ascii="宋体" w:hAnsi="宋体" w:eastAsia="宋体" w:cs="宋体"/>
          <w:color w:val="auto"/>
          <w:kern w:val="0"/>
          <w:sz w:val="24"/>
          <w:szCs w:val="24"/>
        </w:rPr>
      </w:pPr>
    </w:p>
    <w:p w14:paraId="72776218">
      <w:pPr>
        <w:widowControl/>
        <w:snapToGrid/>
        <w:spacing w:before="0" w:after="0" w:line="240" w:lineRule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注意事项：</w:t>
      </w:r>
    </w:p>
    <w:p w14:paraId="0363B7CE">
      <w:pPr>
        <w:widowControl/>
        <w:numPr>
          <w:ilvl w:val="0"/>
          <w:numId w:val="0"/>
        </w:numPr>
        <w:snapToGrid/>
        <w:spacing w:before="0" w:after="0" w:line="240" w:lineRule="auto"/>
        <w:ind w:leftChars="227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1、只有产品在直接结算范围内的采购明细才需要选择发票，普通挂网产品</w:t>
      </w:r>
    </w:p>
    <w:p w14:paraId="6EFB080D">
      <w:pPr>
        <w:widowControl/>
        <w:numPr>
          <w:ilvl w:val="0"/>
          <w:numId w:val="0"/>
        </w:numPr>
        <w:snapToGrid/>
        <w:spacing w:before="0" w:after="0" w:line="240" w:lineRule="auto"/>
        <w:ind w:leftChars="227" w:firstLine="240" w:firstLineChars="100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无“选择”发票按钮。</w:t>
      </w:r>
    </w:p>
    <w:p w14:paraId="760C2EFC">
      <w:pPr>
        <w:widowControl/>
        <w:numPr>
          <w:ilvl w:val="0"/>
          <w:numId w:val="0"/>
        </w:numPr>
        <w:snapToGrid/>
        <w:spacing w:before="0" w:after="0" w:line="240" w:lineRule="auto"/>
        <w:ind w:firstLine="480" w:firstLineChars="200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2、一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/>
        </w:rPr>
        <w:t>条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发货明细只可以关联一张发票明细，一张发票明细可以关联多条发货明细。</w:t>
      </w:r>
    </w:p>
    <w:p w14:paraId="5B98BC32">
      <w:pPr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</w:p>
    <w:p w14:paraId="158DDD6E">
      <w:pPr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</w:p>
    <w:p w14:paraId="264CB71C">
      <w:pPr>
        <w:widowControl/>
        <w:snapToGrid/>
        <w:spacing w:before="0" w:after="0" w:line="240" w:lineRule="auto"/>
        <w:rPr>
          <w:rFonts w:ascii="宋体" w:hAnsi="宋体" w:eastAsia="宋体" w:cs="宋体"/>
          <w:color w:val="auto"/>
          <w:kern w:val="0"/>
          <w:sz w:val="24"/>
          <w:szCs w:val="24"/>
        </w:rPr>
      </w:pPr>
    </w:p>
    <w:p w14:paraId="060E5C6E">
      <w:pPr>
        <w:pStyle w:val="3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1.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3结算申请管理</w:t>
      </w:r>
    </w:p>
    <w:p w14:paraId="50601D08">
      <w:pPr>
        <w:pStyle w:val="4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1.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/>
          <w:sz w:val="30"/>
          <w:szCs w:val="30"/>
        </w:rPr>
        <w:t>.1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结算申请管理-待确认</w:t>
      </w:r>
    </w:p>
    <w:p w14:paraId="205BC54E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点击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左侧菜单</w:t>
      </w:r>
      <w:r>
        <w:rPr>
          <w:rFonts w:hint="eastAsia" w:ascii="宋体" w:hAnsi="宋体" w:eastAsia="宋体"/>
          <w:sz w:val="28"/>
          <w:szCs w:val="28"/>
          <w:lang w:eastAsia="zh-CN"/>
        </w:rPr>
        <w:t>【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结算申请管理】</w:t>
      </w:r>
      <w:r>
        <w:rPr>
          <w:rFonts w:hint="eastAsia" w:ascii="宋体" w:hAnsi="宋体" w:eastAsia="宋体"/>
          <w:sz w:val="28"/>
          <w:szCs w:val="28"/>
        </w:rPr>
        <w:t>-</w:t>
      </w:r>
      <w:r>
        <w:rPr>
          <w:rFonts w:hint="eastAsia" w:ascii="宋体" w:hAnsi="宋体" w:eastAsia="宋体"/>
          <w:sz w:val="28"/>
          <w:szCs w:val="28"/>
          <w:lang w:eastAsia="zh-CN"/>
        </w:rPr>
        <w:t>【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结算申请管理】</w:t>
      </w:r>
      <w:r>
        <w:rPr>
          <w:rFonts w:hint="eastAsia" w:ascii="宋体" w:hAnsi="宋体" w:eastAsia="宋体"/>
          <w:sz w:val="28"/>
          <w:szCs w:val="28"/>
        </w:rPr>
        <w:t>，进入页面内。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本页面展示历史待结算采购记录，医药企业可以设置发票明细并提交给医疗机构确认。</w:t>
      </w:r>
    </w:p>
    <w:p w14:paraId="502FBABC">
      <w:pPr>
        <w:jc w:val="left"/>
      </w:pPr>
      <w:r>
        <w:drawing>
          <wp:inline distT="0" distB="0" distL="114300" distR="114300">
            <wp:extent cx="5650230" cy="1616075"/>
            <wp:effectExtent l="0" t="0" r="762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21A9B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点击【提交】按钮，提交当前选择的交易明细给采购医疗机构确认，需关联发票后的明细才能提交。</w:t>
      </w:r>
    </w:p>
    <w:p w14:paraId="3A60E82A"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点击【设置发票】按钮，可以为当前交易明细关联发票信息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</w:p>
    <w:p w14:paraId="028BA496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点击【查看】按钮，查看当前选择的交易明细及关联的发票明细信息。</w:t>
      </w:r>
    </w:p>
    <w:p w14:paraId="66834398">
      <w:pPr>
        <w:rPr>
          <w:rFonts w:hint="eastAsia" w:ascii="宋体" w:hAnsi="宋体" w:eastAsia="宋体"/>
          <w:sz w:val="28"/>
          <w:szCs w:val="28"/>
          <w:lang w:eastAsia="zh-CN"/>
        </w:rPr>
      </w:pPr>
    </w:p>
    <w:p w14:paraId="14E1E380">
      <w:pPr>
        <w:jc w:val="left"/>
      </w:pPr>
    </w:p>
    <w:p w14:paraId="43DBA9F6">
      <w:pPr>
        <w:pStyle w:val="4"/>
        <w:rPr>
          <w:rFonts w:hint="eastAsia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1.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/>
          <w:sz w:val="30"/>
          <w:szCs w:val="30"/>
        </w:rPr>
        <w:t>.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2结算申请管理-已提交</w:t>
      </w:r>
    </w:p>
    <w:p w14:paraId="2A49989B">
      <w:pPr>
        <w:rPr>
          <w:rFonts w:hint="default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本页面展示历史已提交的结算记录，配送企业可以查看已提交的结算申请及医疗机构确认状态，撤回未确认的明细。</w:t>
      </w:r>
    </w:p>
    <w:p w14:paraId="2E4CC7EB">
      <w:pPr>
        <w:jc w:val="left"/>
      </w:pPr>
      <w:r>
        <w:drawing>
          <wp:inline distT="0" distB="0" distL="114300" distR="114300">
            <wp:extent cx="5659120" cy="1459865"/>
            <wp:effectExtent l="0" t="0" r="1778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0E5BB">
      <w:pPr>
        <w:jc w:val="left"/>
      </w:pPr>
    </w:p>
    <w:p w14:paraId="7A2E6865"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点击【撤回】按钮，可以撤回当前选择的结算申请明细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</w:p>
    <w:p w14:paraId="4E47C598">
      <w:pPr>
        <w:rPr>
          <w:rFonts w:hint="eastAsia" w:ascii="宋体" w:hAnsi="宋体" w:eastAsia="宋体"/>
          <w:sz w:val="28"/>
          <w:szCs w:val="28"/>
          <w:lang w:eastAsia="zh-CN"/>
        </w:rPr>
      </w:pPr>
    </w:p>
    <w:p w14:paraId="41088EA9">
      <w:pPr>
        <w:widowControl/>
        <w:snapToGrid/>
        <w:spacing w:before="0" w:after="0" w:line="240" w:lineRule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注意事项：</w:t>
      </w:r>
    </w:p>
    <w:p w14:paraId="4CEDF9BA">
      <w:pPr>
        <w:widowControl/>
        <w:numPr>
          <w:ilvl w:val="0"/>
          <w:numId w:val="0"/>
        </w:numPr>
        <w:snapToGrid/>
        <w:spacing w:before="0" w:after="0" w:line="240" w:lineRule="auto"/>
        <w:ind w:firstLine="480" w:firstLineChars="200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1.只有医疗机构未确认的或确认不通过的明细才能撤回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 xml:space="preserve"> </w:t>
      </w:r>
    </w:p>
    <w:p w14:paraId="2C0E28B4">
      <w:pPr>
        <w:jc w:val="left"/>
        <w:rPr>
          <w:rFonts w:hint="default"/>
          <w:lang w:val="en-US" w:eastAsia="zh-CN"/>
        </w:rPr>
      </w:pPr>
    </w:p>
    <w:p w14:paraId="2211B3DC">
      <w:pPr>
        <w:pStyle w:val="3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1.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4对账管理</w:t>
      </w:r>
    </w:p>
    <w:p w14:paraId="2E8A03EC">
      <w:pPr>
        <w:pStyle w:val="4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1.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/>
          <w:sz w:val="30"/>
          <w:szCs w:val="30"/>
        </w:rPr>
        <w:t>.1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对账确认处理-待处理</w:t>
      </w:r>
    </w:p>
    <w:p w14:paraId="6D5A7DD2"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点击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左侧菜单</w:t>
      </w:r>
      <w:r>
        <w:rPr>
          <w:rFonts w:hint="eastAsia" w:ascii="宋体" w:hAnsi="宋体" w:eastAsia="宋体"/>
          <w:sz w:val="28"/>
          <w:szCs w:val="28"/>
          <w:lang w:eastAsia="zh-CN"/>
        </w:rPr>
        <w:t>【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对账管理】</w:t>
      </w:r>
      <w:r>
        <w:rPr>
          <w:rFonts w:hint="eastAsia" w:ascii="宋体" w:hAnsi="宋体" w:eastAsia="宋体"/>
          <w:sz w:val="28"/>
          <w:szCs w:val="28"/>
        </w:rPr>
        <w:t>-</w:t>
      </w:r>
      <w:r>
        <w:rPr>
          <w:rFonts w:hint="eastAsia" w:ascii="宋体" w:hAnsi="宋体" w:eastAsia="宋体"/>
          <w:sz w:val="28"/>
          <w:szCs w:val="28"/>
          <w:lang w:eastAsia="zh-CN"/>
        </w:rPr>
        <w:t>【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对账确认处理】</w:t>
      </w:r>
      <w:r>
        <w:rPr>
          <w:rFonts w:hint="eastAsia" w:ascii="宋体" w:hAnsi="宋体" w:eastAsia="宋体"/>
          <w:sz w:val="28"/>
          <w:szCs w:val="28"/>
        </w:rPr>
        <w:t>，进入页面内。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本页面展示由系统定期生成的待确认对账单信息。</w:t>
      </w:r>
    </w:p>
    <w:p w14:paraId="19919FF2">
      <w:pPr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68C2D24C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650865" cy="1560195"/>
            <wp:effectExtent l="0" t="0" r="6985" b="190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0865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2B1CE">
      <w:pPr>
        <w:jc w:val="center"/>
        <w:rPr>
          <w:rFonts w:hint="eastAsia" w:eastAsia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对账确认处理-待处理</w:t>
      </w:r>
      <w:r>
        <w:rPr>
          <w:rFonts w:hint="eastAsia"/>
          <w:lang w:eastAsia="zh-CN"/>
        </w:rPr>
        <w:t>）</w:t>
      </w:r>
    </w:p>
    <w:p w14:paraId="304D324C"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点击【对账】按钮，进入对账明细页面，医药企业可以对单条结算明细进行确认或拒绝。</w:t>
      </w:r>
    </w:p>
    <w:p w14:paraId="4F2C8DF4">
      <w:r>
        <w:drawing>
          <wp:inline distT="0" distB="0" distL="114300" distR="114300">
            <wp:extent cx="5659755" cy="1158875"/>
            <wp:effectExtent l="0" t="0" r="17145" b="317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D1927">
      <w:pPr>
        <w:rPr>
          <w:rFonts w:hint="default"/>
          <w:lang w:val="en-US" w:eastAsia="zh-CN"/>
        </w:rPr>
      </w:pPr>
    </w:p>
    <w:p w14:paraId="0FCEE553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点击【提交】按钮，提交已确认的明细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若在提交时对账单中存在未操作的明细记录，则在提交时，系统自动进行确认。</w:t>
      </w:r>
    </w:p>
    <w:p w14:paraId="15593CAA"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</w:p>
    <w:p w14:paraId="79222853">
      <w:pPr>
        <w:pStyle w:val="4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1.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/>
          <w:sz w:val="30"/>
          <w:szCs w:val="30"/>
        </w:rPr>
        <w:t>.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2对账确认处理-已处理</w:t>
      </w:r>
    </w:p>
    <w:p w14:paraId="5E1165A1"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本页面展示已提交的对账单信息。</w:t>
      </w:r>
    </w:p>
    <w:p w14:paraId="537E44A7">
      <w:pPr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73323DAF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657850" cy="1385570"/>
            <wp:effectExtent l="0" t="0" r="0" b="508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6AD72">
      <w:pPr>
        <w:jc w:val="center"/>
        <w:rPr>
          <w:rFonts w:hint="eastAsia" w:eastAsia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对账确认处理-已处理</w:t>
      </w:r>
      <w:r>
        <w:rPr>
          <w:rFonts w:hint="eastAsia"/>
          <w:lang w:eastAsia="zh-CN"/>
        </w:rPr>
        <w:t>）</w:t>
      </w:r>
    </w:p>
    <w:p w14:paraId="3D95B775"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点击【对账单明细】按钮，进入对账明细页面 ，可以查询医药企业确认状态及医疗机构确认状态。</w:t>
      </w:r>
    </w:p>
    <w:p w14:paraId="74AD76BC"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659755" cy="794385"/>
            <wp:effectExtent l="0" t="0" r="17145" b="5715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5BFC6">
      <w:pPr>
        <w:jc w:val="left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4" w:h="16840"/>
      <w:pgMar w:top="1448" w:right="1182" w:bottom="1535" w:left="1800" w:header="712" w:footer="85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minorHAnsi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inorEastAsia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行楷">
    <w:altName w:val="汉仪行楷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汉仪行楷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Arial Unicode MS">
    <w:altName w:val="Times New Roman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0191A">
    <w:pPr>
      <w:spacing w:after="34" w:line="240" w:lineRule="auto"/>
      <w:jc w:val="center"/>
      <w:rPr>
        <w:rFonts w:ascii="Arial Unicode MS" w:hAnsi="Arial Unicode MS" w:eastAsia="Arial Unicode MS" w:cs="Arial Unicode MS"/>
        <w:color w:val="000000"/>
        <w:sz w:val="20"/>
      </w:rPr>
    </w:pPr>
    <w:r>
      <w:fldChar w:fldCharType="begin"/>
    </w:r>
    <w:r>
      <w:instrText xml:space="preserve">PAGE \@ "$P"</w:instrText>
    </w:r>
    <w:r>
      <w:fldChar w:fldCharType="separate"/>
    </w:r>
    <w:r>
      <w:rPr>
        <w:rFonts w:ascii="Arial Unicode MS" w:hAnsi="Arial Unicode MS" w:eastAsia="Arial Unicode MS" w:cs="Arial Unicode MS"/>
        <w:color w:val="000000"/>
        <w:sz w:val="20"/>
      </w:rPr>
      <w:t>18</w:t>
    </w:r>
    <w:r>
      <w:fldChar w:fldCharType="end"/>
    </w:r>
    <w:r>
      <w:rPr>
        <w:rFonts w:ascii="Arial Unicode MS" w:hAnsi="Arial Unicode MS" w:eastAsia="Arial Unicode MS" w:cs="Arial Unicode MS"/>
        <w:color w:val="000000"/>
        <w:sz w:val="20"/>
      </w:rPr>
      <w:t xml:space="preserve"> </w:t>
    </w:r>
  </w:p>
  <w:p w14:paraId="081DD60C">
    <w:pPr>
      <w:spacing w:line="240" w:lineRule="auto"/>
      <w:jc w:val="both"/>
      <w:rPr>
        <w:rFonts w:ascii="Times New Roman" w:hAnsi="Times New Roman" w:eastAsia="Times New Roman" w:cs="Times New Roman"/>
        <w:color w:val="000000"/>
        <w:sz w:val="18"/>
      </w:rPr>
    </w:pPr>
    <w:r>
      <w:rPr>
        <w:rFonts w:ascii="Times New Roman" w:hAnsi="Times New Roman" w:eastAsia="Times New Roman" w:cs="Times New Roman"/>
        <w:color w:val="000000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F2ABB">
    <w:pPr>
      <w:spacing w:after="41" w:line="240" w:lineRule="auto"/>
      <w:ind w:firstLine="420" w:firstLineChars="0"/>
      <w:jc w:val="center"/>
      <w:rPr>
        <w:rFonts w:hint="default" w:ascii="华文行楷" w:hAnsi="华文行楷" w:eastAsia="华文行楷" w:cs="华文行楷"/>
        <w:color w:val="000000"/>
        <w:sz w:val="20"/>
        <w:lang w:val="en-US"/>
      </w:rPr>
    </w:pPr>
    <w:r>
      <w:rPr>
        <w:rFonts w:ascii="华文行楷" w:hAnsi="华文行楷" w:eastAsia="华文行楷" w:cs="华文行楷"/>
        <w:color w:val="000000"/>
        <w:sz w:val="20"/>
      </w:rPr>
      <w:t>辽宁省药品</w:t>
    </w:r>
    <w:r>
      <w:rPr>
        <w:rFonts w:hint="eastAsia" w:ascii="华文行楷" w:hAnsi="华文行楷" w:eastAsia="华文行楷" w:cs="华文行楷"/>
        <w:color w:val="000000"/>
        <w:sz w:val="20"/>
        <w:lang w:val="en-US" w:eastAsia="zh-CN"/>
      </w:rPr>
      <w:t>耗材招采子系统-结算功能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09283C"/>
    <w:rsid w:val="2E3C2FB0"/>
    <w:rsid w:val="315F217B"/>
    <w:rsid w:val="35CB2180"/>
    <w:rsid w:val="368960BF"/>
    <w:rsid w:val="4A3F16F2"/>
    <w:rsid w:val="55767EB5"/>
    <w:rsid w:val="580852FD"/>
    <w:rsid w:val="6AC37540"/>
    <w:rsid w:val="77F5DA2A"/>
    <w:rsid w:val="7BEDBFDA"/>
    <w:rsid w:val="DF7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="minorHAnsi" w:hAnsi="minorHAnsi" w:eastAsia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1103</Words>
  <Characters>1137</Characters>
  <Lines>0</Lines>
  <Paragraphs>0</Paragraphs>
  <TotalTime>13</TotalTime>
  <ScaleCrop>false</ScaleCrop>
  <LinksUpToDate>false</LinksUpToDate>
  <CharactersWithSpaces>1153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2026-03-27T03:15:00Z</dcterms:created>
  <dc:creator>64122</dc:creator>
  <cp:lastModifiedBy>侯冠书</cp:lastModifiedBy>
  <dcterms:modified xsi:type="dcterms:W3CDTF">2026-08-13T14:35:06Z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eyJoZGlkIjoiODJmYjRhNjM4YTY3OWJkMWM2YmFmNmRkN2ZiOTJhNWIiLCJ1c2VySWQiOiI2MzQwMTEzIn0=</vt:lpwstr>
  </property>
  <property fmtid="{D5CDD505-2E9C-101B-9397-08002B2CF9AE}" pid="4" name="ICV">
    <vt:lpwstr>DF8D148E013DE0F89A657D6A6C60DF4B_43</vt:lpwstr>
  </property>
</Properties>
</file>