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424843">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_GBK" w:hAnsi="方正小标宋_GBK" w:eastAsia="方正小标宋_GBK" w:cs="方正小标宋_GBK"/>
          <w:b w:val="0"/>
          <w:bCs/>
          <w:color w:val="000000" w:themeColor="text1"/>
          <w:spacing w:val="-23"/>
          <w:kern w:val="21"/>
          <w:sz w:val="44"/>
          <w:szCs w:val="44"/>
          <w:lang w:eastAsia="zh-CN"/>
          <w14:textFill>
            <w14:solidFill>
              <w14:schemeClr w14:val="tx1"/>
            </w14:solidFill>
          </w14:textFill>
        </w:rPr>
      </w:pPr>
      <w:r>
        <w:rPr>
          <w:rFonts w:hint="eastAsia" w:ascii="方正小标宋_GBK" w:hAnsi="方正小标宋_GBK" w:eastAsia="方正小标宋_GBK" w:cs="方正小标宋_GBK"/>
          <w:b w:val="0"/>
          <w:bCs/>
          <w:color w:val="000000" w:themeColor="text1"/>
          <w:spacing w:val="0"/>
          <w:kern w:val="21"/>
          <w:sz w:val="44"/>
          <w:szCs w:val="44"/>
          <w14:textFill>
            <w14:solidFill>
              <w14:schemeClr w14:val="tx1"/>
            </w14:solidFill>
          </w14:textFill>
        </w:rPr>
        <w:t>《关于建立自</w:t>
      </w:r>
      <w:bookmarkStart w:id="0" w:name="_GoBack"/>
      <w:bookmarkEnd w:id="0"/>
      <w:r>
        <w:rPr>
          <w:rFonts w:hint="eastAsia" w:ascii="方正小标宋_GBK" w:hAnsi="方正小标宋_GBK" w:eastAsia="方正小标宋_GBK" w:cs="方正小标宋_GBK"/>
          <w:b w:val="0"/>
          <w:bCs/>
          <w:color w:val="000000" w:themeColor="text1"/>
          <w:spacing w:val="0"/>
          <w:kern w:val="21"/>
          <w:sz w:val="44"/>
          <w:szCs w:val="44"/>
          <w14:textFill>
            <w14:solidFill>
              <w14:schemeClr w14:val="tx1"/>
            </w14:solidFill>
          </w14:textFill>
        </w:rPr>
        <w:t>治区定点零售药店职工医保个人账户支付白名单制度的通知（征求意见稿）》</w:t>
      </w:r>
    </w:p>
    <w:p w14:paraId="5CA41D50">
      <w:pPr>
        <w:keepNext w:val="0"/>
        <w:keepLines w:val="0"/>
        <w:pageBreakBefore w:val="0"/>
        <w:widowControl w:val="0"/>
        <w:kinsoku/>
        <w:wordWrap/>
        <w:overflowPunct/>
        <w:topLinePunct w:val="0"/>
        <w:autoSpaceDE/>
        <w:autoSpaceDN/>
        <w:bidi w:val="0"/>
        <w:adjustRightInd/>
        <w:snapToGrid/>
        <w:spacing w:after="0" w:line="560" w:lineRule="exact"/>
        <w:ind w:firstLine="0"/>
        <w:jc w:val="both"/>
        <w:textAlignment w:val="auto"/>
        <w:rPr>
          <w:color w:val="000000" w:themeColor="text1"/>
          <w:kern w:val="21"/>
          <w:highlight w:val="none"/>
          <w14:textFill>
            <w14:solidFill>
              <w14:schemeClr w14:val="tx1"/>
            </w14:solidFill>
          </w14:textFill>
        </w:rPr>
      </w:pPr>
    </w:p>
    <w:p w14:paraId="3B4848D9">
      <w:pPr>
        <w:keepNext w:val="0"/>
        <w:keepLines w:val="0"/>
        <w:pageBreakBefore w:val="0"/>
        <w:widowControl w:val="0"/>
        <w:kinsoku/>
        <w:wordWrap/>
        <w:overflowPunct/>
        <w:topLinePunct w:val="0"/>
        <w:autoSpaceDE/>
        <w:autoSpaceDN/>
        <w:bidi w:val="0"/>
        <w:adjustRightInd/>
        <w:snapToGrid/>
        <w:spacing w:after="0" w:line="560" w:lineRule="exact"/>
        <w:ind w:firstLine="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各地、州、市医疗保障局，各定点零售药店：</w:t>
      </w:r>
    </w:p>
    <w:p w14:paraId="14AE221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为深入贯彻落实国家医保局办公室、财政部办公厅《关于进一步加强定点零售药店职工基本医疗保险个人账户使用监督管理的通知》（医保办发〔2026〕7号）精神，规范我区职工医保个人账户在定点零售药店的使用管理，维护医保基金安全，结合自治区实际，现就建立定点零售药店职工医保个人账户支付白名单制度有关事项通知如下：</w:t>
      </w:r>
    </w:p>
    <w:p w14:paraId="26E2ABB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黑体_GBK" w:hAnsi="方正黑体_GBK" w:eastAsia="方正黑体_GBK" w:cs="方正黑体_GBK"/>
          <w:color w:val="000000" w:themeColor="text1"/>
          <w:kern w:val="21"/>
          <w:sz w:val="32"/>
          <w:szCs w:val="32"/>
          <w:highlight w:val="none"/>
          <w14:textFill>
            <w14:solidFill>
              <w14:schemeClr w14:val="tx1"/>
            </w14:solidFill>
          </w14:textFill>
        </w:rPr>
      </w:pPr>
      <w:r>
        <w:rPr>
          <w:rFonts w:hint="eastAsia" w:ascii="方正黑体_GBK" w:hAnsi="方正黑体_GBK" w:eastAsia="方正黑体_GBK" w:cs="方正黑体_GBK"/>
          <w:b w:val="0"/>
          <w:color w:val="000000" w:themeColor="text1"/>
          <w:kern w:val="21"/>
          <w:sz w:val="32"/>
          <w:szCs w:val="32"/>
          <w:highlight w:val="none"/>
          <w14:textFill>
            <w14:solidFill>
              <w14:schemeClr w14:val="tx1"/>
            </w14:solidFill>
          </w14:textFill>
        </w:rPr>
        <w:t>一、建立白名单管理机制，切实规范个人账户支出</w:t>
      </w:r>
    </w:p>
    <w:p w14:paraId="1D634B3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方正仿宋_GBK"/>
          <w:b w:val="0"/>
          <w:color w:val="000000" w:themeColor="text1"/>
          <w:kern w:val="21"/>
          <w:sz w:val="32"/>
          <w:szCs w:val="32"/>
          <w:highlight w:val="none"/>
          <w:lang w:val="en" w:eastAsia="zh-CN"/>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定点零售药店职工医保个人账户支付白名单（以下简称白名单），通过制定可支付范围和不予支付范围进行规范管理。坚持</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w:t>
      </w:r>
      <w:r>
        <w:rPr>
          <w:rFonts w:ascii="Times New Roman" w:hAnsi="Times New Roman" w:eastAsia="方正仿宋_GBK"/>
          <w:b w:val="0"/>
          <w:color w:val="000000" w:themeColor="text1"/>
          <w:kern w:val="21"/>
          <w:sz w:val="32"/>
          <w:szCs w:val="32"/>
          <w:highlight w:val="none"/>
          <w14:textFill>
            <w14:solidFill>
              <w14:schemeClr w14:val="tx1"/>
            </w14:solidFill>
          </w14:textFill>
        </w:rPr>
        <w:t>保基本</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w:t>
      </w:r>
      <w:r>
        <w:rPr>
          <w:rFonts w:ascii="Times New Roman" w:hAnsi="Times New Roman" w:eastAsia="方正仿宋_GBK"/>
          <w:b w:val="0"/>
          <w:color w:val="000000" w:themeColor="text1"/>
          <w:kern w:val="21"/>
          <w:sz w:val="32"/>
          <w:szCs w:val="32"/>
          <w:highlight w:val="none"/>
          <w14:textFill>
            <w14:solidFill>
              <w14:schemeClr w14:val="tx1"/>
            </w14:solidFill>
          </w14:textFill>
        </w:rPr>
        <w:t>的功能定位，纳入</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正面清单</w:t>
      </w:r>
      <w:r>
        <w:rPr>
          <w:rFonts w:ascii="Times New Roman" w:hAnsi="Times New Roman" w:eastAsia="方正仿宋_GBK"/>
          <w:b w:val="0"/>
          <w:color w:val="000000" w:themeColor="text1"/>
          <w:kern w:val="21"/>
          <w:sz w:val="32"/>
          <w:szCs w:val="32"/>
          <w:highlight w:val="none"/>
          <w14:textFill>
            <w14:solidFill>
              <w14:schemeClr w14:val="tx1"/>
            </w14:solidFill>
          </w14:textFill>
        </w:rPr>
        <w:t>可支付的，应是经药监部门正式批准注册或备案、可以在零售药店销售，并且与治疗密切相关、医疗属性强的药品、医疗器械</w:t>
      </w:r>
      <w:r>
        <w:rPr>
          <w:rFonts w:hint="eastAsia" w:ascii="Times New Roman" w:hAnsi="Times New Roman" w:eastAsia="方正仿宋_GBK"/>
          <w:b w:val="0"/>
          <w:color w:val="000000" w:themeColor="text1"/>
          <w:kern w:val="21"/>
          <w:sz w:val="32"/>
          <w:szCs w:val="32"/>
          <w:highlight w:val="none"/>
          <w:lang w:val="en-US" w:eastAsia="zh-CN"/>
          <w14:textFill>
            <w14:solidFill>
              <w14:schemeClr w14:val="tx1"/>
            </w14:solidFill>
          </w14:textFill>
        </w:rPr>
        <w:t>和耗材</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w:t>
      </w:r>
      <w:r>
        <w:rPr>
          <w:rFonts w:hint="eastAsia" w:ascii="Times New Roman" w:hAnsi="Times New Roman" w:eastAsia="方正仿宋_GBK"/>
          <w:b w:val="0"/>
          <w:color w:val="000000" w:themeColor="text1"/>
          <w:kern w:val="21"/>
          <w:sz w:val="32"/>
          <w:szCs w:val="32"/>
          <w:highlight w:val="none"/>
          <w14:textFill>
            <w14:solidFill>
              <w14:schemeClr w14:val="tx1"/>
            </w14:solidFill>
          </w14:textFill>
        </w:rPr>
        <w:t>消毒用品、特殊医学用途配方食品、体外诊断试剂</w:t>
      </w:r>
      <w:r>
        <w:rPr>
          <w:rFonts w:ascii="Times New Roman" w:hAnsi="Times New Roman" w:eastAsia="方正仿宋_GBK"/>
          <w:b w:val="0"/>
          <w:color w:val="000000" w:themeColor="text1"/>
          <w:kern w:val="21"/>
          <w:sz w:val="32"/>
          <w:szCs w:val="32"/>
          <w:highlight w:val="none"/>
          <w14:textFill>
            <w14:solidFill>
              <w14:schemeClr w14:val="tx1"/>
            </w14:solidFill>
          </w14:textFill>
        </w:rPr>
        <w:t>；</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经</w:t>
      </w:r>
      <w:r>
        <w:rPr>
          <w:rFonts w:ascii="Times New Roman" w:hAnsi="Times New Roman" w:eastAsia="方正仿宋_GBK"/>
          <w:b w:val="0"/>
          <w:color w:val="000000" w:themeColor="text1"/>
          <w:kern w:val="21"/>
          <w:sz w:val="32"/>
          <w:szCs w:val="32"/>
          <w:highlight w:val="none"/>
          <w14:textFill>
            <w14:solidFill>
              <w14:schemeClr w14:val="tx1"/>
            </w14:solidFill>
          </w14:textFill>
        </w:rPr>
        <w:t>批准</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上市</w:t>
      </w:r>
      <w:r>
        <w:rPr>
          <w:rFonts w:hint="eastAsia" w:ascii="Times New Roman" w:hAnsi="Times New Roman" w:eastAsia="方正仿宋_GBK"/>
          <w:b w:val="0"/>
          <w:color w:val="000000" w:themeColor="text1"/>
          <w:kern w:val="21"/>
          <w:sz w:val="32"/>
          <w:szCs w:val="32"/>
          <w:highlight w:val="none"/>
          <w14:textFill>
            <w14:solidFill>
              <w14:schemeClr w14:val="tx1"/>
            </w14:solidFill>
          </w14:textFill>
        </w:rPr>
        <w:t>但以生活功能为主、医疗属性不强的产品，或主要用于体育健身、养生保健、日常生活用途的器械耗材和生活用品，纳入</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负面清单</w:t>
      </w:r>
      <w:r>
        <w:rPr>
          <w:rFonts w:hint="eastAsia" w:ascii="Times New Roman" w:hAnsi="Times New Roman" w:eastAsia="方正仿宋_GBK"/>
          <w:b w:val="0"/>
          <w:color w:val="000000" w:themeColor="text1"/>
          <w:kern w:val="21"/>
          <w:sz w:val="32"/>
          <w:szCs w:val="32"/>
          <w:highlight w:val="none"/>
          <w14:textFill>
            <w14:solidFill>
              <w14:schemeClr w14:val="tx1"/>
            </w14:solidFill>
          </w14:textFill>
        </w:rPr>
        <w:t>不予支付范围（具体见附件）</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w:t>
      </w:r>
    </w:p>
    <w:p w14:paraId="5AAB595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自治区医疗保障</w:t>
      </w:r>
      <w:r>
        <w:rPr>
          <w:rFonts w:hint="eastAsia" w:ascii="Times New Roman" w:hAnsi="Times New Roman" w:eastAsia="方正仿宋_GBK"/>
          <w:b w:val="0"/>
          <w:color w:val="000000" w:themeColor="text1"/>
          <w:kern w:val="21"/>
          <w:sz w:val="32"/>
          <w:szCs w:val="32"/>
          <w:highlight w:val="none"/>
          <w:lang w:val="en-US" w:eastAsia="zh-CN"/>
          <w14:textFill>
            <w14:solidFill>
              <w14:schemeClr w14:val="tx1"/>
            </w14:solidFill>
          </w14:textFill>
        </w:rPr>
        <w:t>部门</w:t>
      </w:r>
      <w:r>
        <w:rPr>
          <w:rFonts w:ascii="Times New Roman" w:hAnsi="Times New Roman" w:eastAsia="方正仿宋_GBK"/>
          <w:b w:val="0"/>
          <w:color w:val="000000" w:themeColor="text1"/>
          <w:kern w:val="21"/>
          <w:sz w:val="32"/>
          <w:szCs w:val="32"/>
          <w:highlight w:val="none"/>
          <w14:textFill>
            <w14:solidFill>
              <w14:schemeClr w14:val="tx1"/>
            </w14:solidFill>
          </w14:textFill>
        </w:rPr>
        <w:t>制定全区统一的</w:t>
      </w:r>
      <w:r>
        <w:rPr>
          <w:rFonts w:hint="eastAsia" w:ascii="Times New Roman" w:hAnsi="Times New Roman" w:eastAsia="方正仿宋_GBK"/>
          <w:b w:val="0"/>
          <w:color w:val="000000" w:themeColor="text1"/>
          <w:kern w:val="21"/>
          <w:sz w:val="32"/>
          <w:szCs w:val="32"/>
          <w:highlight w:val="none"/>
          <w14:textFill>
            <w14:solidFill>
              <w14:schemeClr w14:val="tx1"/>
            </w14:solidFill>
          </w14:textFill>
        </w:rPr>
        <w:t>白名单</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正面清单和负面清单</w:t>
      </w:r>
      <w:r>
        <w:rPr>
          <w:rFonts w:ascii="Times New Roman" w:hAnsi="Times New Roman" w:eastAsia="方正仿宋_GBK"/>
          <w:b w:val="0"/>
          <w:color w:val="000000" w:themeColor="text1"/>
          <w:kern w:val="21"/>
          <w:sz w:val="32"/>
          <w:szCs w:val="32"/>
          <w:highlight w:val="none"/>
          <w14:textFill>
            <w14:solidFill>
              <w14:schemeClr w14:val="tx1"/>
            </w14:solidFill>
          </w14:textFill>
        </w:rPr>
        <w:t>，并根据国家医保</w:t>
      </w:r>
      <w:r>
        <w:rPr>
          <w:rFonts w:hint="eastAsia" w:ascii="Times New Roman" w:hAnsi="Times New Roman" w:eastAsia="方正仿宋_GBK"/>
          <w:b w:val="0"/>
          <w:color w:val="000000" w:themeColor="text1"/>
          <w:kern w:val="21"/>
          <w:sz w:val="32"/>
          <w:szCs w:val="32"/>
          <w:highlight w:val="none"/>
          <w:lang w:val="en-US" w:eastAsia="zh-CN"/>
          <w14:textFill>
            <w14:solidFill>
              <w14:schemeClr w14:val="tx1"/>
            </w14:solidFill>
          </w14:textFill>
        </w:rPr>
        <w:t>编码</w:t>
      </w:r>
      <w:r>
        <w:rPr>
          <w:rFonts w:ascii="Times New Roman" w:hAnsi="Times New Roman" w:eastAsia="方正仿宋_GBK"/>
          <w:b w:val="0"/>
          <w:color w:val="000000" w:themeColor="text1"/>
          <w:kern w:val="21"/>
          <w:sz w:val="32"/>
          <w:szCs w:val="32"/>
          <w:highlight w:val="none"/>
          <w14:textFill>
            <w14:solidFill>
              <w14:schemeClr w14:val="tx1"/>
            </w14:solidFill>
          </w14:textFill>
        </w:rPr>
        <w:t>调整、医药技术发展和监管实践</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对</w:t>
      </w:r>
      <w:r>
        <w:rPr>
          <w:rFonts w:hint="eastAsia" w:ascii="Times New Roman" w:hAnsi="Times New Roman" w:eastAsia="方正仿宋_GBK"/>
          <w:b w:val="0"/>
          <w:color w:val="000000" w:themeColor="text1"/>
          <w:kern w:val="21"/>
          <w:sz w:val="32"/>
          <w:szCs w:val="32"/>
          <w:highlight w:val="none"/>
          <w14:textFill>
            <w14:solidFill>
              <w14:schemeClr w14:val="tx1"/>
            </w14:solidFill>
          </w14:textFill>
        </w:rPr>
        <w:t>白名单</w:t>
      </w:r>
      <w:r>
        <w:rPr>
          <w:rFonts w:ascii="Times New Roman" w:hAnsi="Times New Roman" w:eastAsia="方正仿宋_GBK"/>
          <w:b w:val="0"/>
          <w:color w:val="000000" w:themeColor="text1"/>
          <w:kern w:val="21"/>
          <w:sz w:val="32"/>
          <w:szCs w:val="32"/>
          <w:highlight w:val="none"/>
          <w14:textFill>
            <w14:solidFill>
              <w14:schemeClr w14:val="tx1"/>
            </w14:solidFill>
          </w14:textFill>
        </w:rPr>
        <w:t>实行动态调整。各</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统筹地区</w:t>
      </w:r>
      <w:r>
        <w:rPr>
          <w:rFonts w:ascii="Times New Roman" w:hAnsi="Times New Roman" w:eastAsia="方正仿宋_GBK"/>
          <w:b w:val="0"/>
          <w:color w:val="000000" w:themeColor="text1"/>
          <w:kern w:val="21"/>
          <w:sz w:val="32"/>
          <w:szCs w:val="32"/>
          <w:highlight w:val="none"/>
          <w14:textFill>
            <w14:solidFill>
              <w14:schemeClr w14:val="tx1"/>
            </w14:solidFill>
          </w14:textFill>
        </w:rPr>
        <w:t>不得自行扩大或缩小白名单范围。</w:t>
      </w:r>
    </w:p>
    <w:p w14:paraId="441B1F8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黑体_GBK" w:hAnsi="方正黑体_GBK" w:eastAsia="方正黑体_GBK" w:cs="方正黑体_GBK"/>
          <w:color w:val="000000" w:themeColor="text1"/>
          <w:kern w:val="21"/>
          <w:sz w:val="32"/>
          <w:szCs w:val="32"/>
          <w:highlight w:val="none"/>
          <w14:textFill>
            <w14:solidFill>
              <w14:schemeClr w14:val="tx1"/>
            </w14:solidFill>
          </w14:textFill>
        </w:rPr>
      </w:pPr>
      <w:r>
        <w:rPr>
          <w:rFonts w:hint="eastAsia" w:ascii="方正黑体_GBK" w:hAnsi="方正黑体_GBK" w:eastAsia="方正黑体_GBK" w:cs="方正黑体_GBK"/>
          <w:b w:val="0"/>
          <w:color w:val="000000" w:themeColor="text1"/>
          <w:kern w:val="21"/>
          <w:sz w:val="32"/>
          <w:szCs w:val="32"/>
          <w:highlight w:val="none"/>
          <w14:textFill>
            <w14:solidFill>
              <w14:schemeClr w14:val="tx1"/>
            </w14:solidFill>
          </w14:textFill>
        </w:rPr>
        <w:t>二、压实定点零售药店责任，严格执行白名单制度</w:t>
      </w:r>
    </w:p>
    <w:p w14:paraId="770A3EE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hint="eastAsia" w:ascii="方正楷体_GBK" w:hAnsi="方正楷体_GBK" w:eastAsia="方正楷体_GBK" w:cs="方正楷体_GBK"/>
          <w:b w:val="0"/>
          <w:color w:val="000000" w:themeColor="text1"/>
          <w:kern w:val="21"/>
          <w:sz w:val="32"/>
          <w:szCs w:val="32"/>
          <w:highlight w:val="none"/>
          <w14:textFill>
            <w14:solidFill>
              <w14:schemeClr w14:val="tx1"/>
            </w14:solidFill>
          </w14:textFill>
        </w:rPr>
        <w:t>（一）规范结算行为。</w:t>
      </w:r>
      <w:r>
        <w:rPr>
          <w:rFonts w:ascii="Times New Roman" w:hAnsi="Times New Roman" w:eastAsia="方正仿宋_GBK"/>
          <w:b w:val="0"/>
          <w:color w:val="000000" w:themeColor="text1"/>
          <w:kern w:val="21"/>
          <w:sz w:val="32"/>
          <w:szCs w:val="32"/>
          <w:highlight w:val="none"/>
          <w14:textFill>
            <w14:solidFill>
              <w14:schemeClr w14:val="tx1"/>
            </w14:solidFill>
          </w14:textFill>
        </w:rPr>
        <w:t>定点零售药店要严格执行白名单制度，参保人员使用</w:t>
      </w:r>
      <w:r>
        <w:rPr>
          <w:rFonts w:hint="eastAsia" w:ascii="Times New Roman" w:hAnsi="Times New Roman" w:eastAsia="方正仿宋_GBK"/>
          <w:b w:val="0"/>
          <w:color w:val="000000" w:themeColor="text1"/>
          <w:kern w:val="21"/>
          <w:sz w:val="32"/>
          <w:szCs w:val="32"/>
          <w:highlight w:val="none"/>
          <w:lang w:val="en-US" w:eastAsia="zh-CN"/>
          <w14:textFill>
            <w14:solidFill>
              <w14:schemeClr w14:val="tx1"/>
            </w14:solidFill>
          </w14:textFill>
        </w:rPr>
        <w:t>医保</w:t>
      </w:r>
      <w:r>
        <w:rPr>
          <w:rFonts w:ascii="Times New Roman" w:hAnsi="Times New Roman" w:eastAsia="方正仿宋_GBK"/>
          <w:b w:val="0"/>
          <w:color w:val="000000" w:themeColor="text1"/>
          <w:kern w:val="21"/>
          <w:sz w:val="32"/>
          <w:szCs w:val="32"/>
          <w:highlight w:val="none"/>
          <w14:textFill>
            <w14:solidFill>
              <w14:schemeClr w14:val="tx1"/>
            </w14:solidFill>
          </w14:textFill>
        </w:rPr>
        <w:t>个人账户支付商品费用时，如实开具医保结算单据，注明商品名称、规格、单价、医保编码及个人账户支付金额等信息，不得串换商品、虚记费用、空刷套刷。</w:t>
      </w:r>
    </w:p>
    <w:p w14:paraId="4D8509F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hint="eastAsia" w:ascii="方正楷体_GBK" w:hAnsi="方正楷体_GBK" w:eastAsia="方正楷体_GBK" w:cs="方正楷体_GBK"/>
          <w:b w:val="0"/>
          <w:color w:val="000000" w:themeColor="text1"/>
          <w:kern w:val="21"/>
          <w:sz w:val="32"/>
          <w:szCs w:val="32"/>
          <w:highlight w:val="none"/>
          <w14:textFill>
            <w14:solidFill>
              <w14:schemeClr w14:val="tx1"/>
            </w14:solidFill>
          </w14:textFill>
        </w:rPr>
        <w:t>（二）加强内部管理。</w:t>
      </w:r>
      <w:r>
        <w:rPr>
          <w:rFonts w:ascii="Times New Roman" w:hAnsi="Times New Roman" w:eastAsia="方正仿宋_GBK"/>
          <w:b w:val="0"/>
          <w:color w:val="000000" w:themeColor="text1"/>
          <w:kern w:val="21"/>
          <w:sz w:val="32"/>
          <w:szCs w:val="32"/>
          <w:highlight w:val="none"/>
          <w14:textFill>
            <w14:solidFill>
              <w14:schemeClr w14:val="tx1"/>
            </w14:solidFill>
          </w14:textFill>
        </w:rPr>
        <w:t>定点零售药店要建立健全商品采购、入库、销售、结算全流程管理制度，定期开展医保政策培训，使员工熟练掌握</w:t>
      </w:r>
      <w:r>
        <w:rPr>
          <w:rFonts w:hint="eastAsia" w:ascii="Times New Roman" w:hAnsi="Times New Roman" w:eastAsia="方正仿宋_GBK"/>
          <w:b w:val="0"/>
          <w:color w:val="000000" w:themeColor="text1"/>
          <w:kern w:val="21"/>
          <w:sz w:val="32"/>
          <w:szCs w:val="32"/>
          <w:highlight w:val="none"/>
          <w:lang w:val="en-US" w:eastAsia="zh-CN"/>
          <w14:textFill>
            <w14:solidFill>
              <w14:schemeClr w14:val="tx1"/>
            </w14:solidFill>
          </w14:textFill>
        </w:rPr>
        <w:t>医保</w:t>
      </w:r>
      <w:r>
        <w:rPr>
          <w:rFonts w:ascii="Times New Roman" w:hAnsi="Times New Roman" w:eastAsia="方正仿宋_GBK"/>
          <w:b w:val="0"/>
          <w:color w:val="000000" w:themeColor="text1"/>
          <w:kern w:val="21"/>
          <w:sz w:val="32"/>
          <w:szCs w:val="32"/>
          <w:highlight w:val="none"/>
          <w14:textFill>
            <w14:solidFill>
              <w14:schemeClr w14:val="tx1"/>
            </w14:solidFill>
          </w14:textFill>
        </w:rPr>
        <w:t>个人账户支付范围及结算要求；在经营场所显著位置张贴</w:t>
      </w:r>
      <w:r>
        <w:rPr>
          <w:rFonts w:hint="eastAsia" w:ascii="Times New Roman" w:hAnsi="Times New Roman" w:eastAsia="方正仿宋_GBK"/>
          <w:b w:val="0"/>
          <w:color w:val="000000" w:themeColor="text1"/>
          <w:kern w:val="21"/>
          <w:sz w:val="32"/>
          <w:szCs w:val="32"/>
          <w:highlight w:val="none"/>
          <w:lang w:val="en-US" w:eastAsia="zh-CN"/>
          <w14:textFill>
            <w14:solidFill>
              <w14:schemeClr w14:val="tx1"/>
            </w14:solidFill>
          </w14:textFill>
        </w:rPr>
        <w:t>医保</w:t>
      </w:r>
      <w:r>
        <w:rPr>
          <w:rFonts w:ascii="Times New Roman" w:hAnsi="Times New Roman" w:eastAsia="方正仿宋_GBK"/>
          <w:b w:val="0"/>
          <w:color w:val="000000" w:themeColor="text1"/>
          <w:kern w:val="21"/>
          <w:sz w:val="32"/>
          <w:szCs w:val="32"/>
          <w:highlight w:val="none"/>
          <w14:textFill>
            <w14:solidFill>
              <w14:schemeClr w14:val="tx1"/>
            </w14:solidFill>
          </w14:textFill>
        </w:rPr>
        <w:t>个人账户可支付范围和不予支付范围，主动接受群众监督。</w:t>
      </w:r>
    </w:p>
    <w:p w14:paraId="11808CA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hint="eastAsia" w:ascii="方正楷体_GBK" w:hAnsi="方正楷体_GBK" w:eastAsia="方正楷体_GBK" w:cs="方正楷体_GBK"/>
          <w:b w:val="0"/>
          <w:color w:val="000000" w:themeColor="text1"/>
          <w:kern w:val="21"/>
          <w:sz w:val="32"/>
          <w:szCs w:val="32"/>
          <w:highlight w:val="none"/>
          <w14:textFill>
            <w14:solidFill>
              <w14:schemeClr w14:val="tx1"/>
            </w14:solidFill>
          </w14:textFill>
        </w:rPr>
        <w:t>（三）</w:t>
      </w:r>
      <w:r>
        <w:rPr>
          <w:rFonts w:hint="eastAsia" w:ascii="方正楷体_GBK" w:hAnsi="方正楷体_GBK" w:eastAsia="方正楷体_GBK" w:cs="方正楷体_GBK"/>
          <w:b w:val="0"/>
          <w:color w:val="000000" w:themeColor="text1"/>
          <w:kern w:val="21"/>
          <w:sz w:val="32"/>
          <w:szCs w:val="32"/>
          <w:highlight w:val="none"/>
          <w:lang w:eastAsia="zh-CN"/>
          <w14:textFill>
            <w14:solidFill>
              <w14:schemeClr w14:val="tx1"/>
            </w14:solidFill>
          </w14:textFill>
        </w:rPr>
        <w:t>规范价格行为</w:t>
      </w:r>
      <w:r>
        <w:rPr>
          <w:rFonts w:hint="eastAsia" w:ascii="方正楷体_GBK" w:hAnsi="方正楷体_GBK" w:eastAsia="方正楷体_GBK" w:cs="方正楷体_GBK"/>
          <w:b w:val="0"/>
          <w:color w:val="000000" w:themeColor="text1"/>
          <w:kern w:val="21"/>
          <w:sz w:val="32"/>
          <w:szCs w:val="32"/>
          <w:highlight w:val="none"/>
          <w14:textFill>
            <w14:solidFill>
              <w14:schemeClr w14:val="tx1"/>
            </w14:solidFill>
          </w14:textFill>
        </w:rPr>
        <w:t>。</w:t>
      </w:r>
      <w:r>
        <w:rPr>
          <w:rFonts w:ascii="Times New Roman" w:hAnsi="Times New Roman" w:eastAsia="方正仿宋_GBK"/>
          <w:b w:val="0"/>
          <w:color w:val="000000" w:themeColor="text1"/>
          <w:kern w:val="21"/>
          <w:sz w:val="32"/>
          <w:szCs w:val="32"/>
          <w:highlight w:val="none"/>
          <w14:textFill>
            <w14:solidFill>
              <w14:schemeClr w14:val="tx1"/>
            </w14:solidFill>
          </w14:textFill>
        </w:rPr>
        <w:t>定点零售药店对使用</w:t>
      </w:r>
      <w:r>
        <w:rPr>
          <w:rFonts w:hint="eastAsia" w:ascii="Times New Roman" w:hAnsi="Times New Roman" w:eastAsia="方正仿宋_GBK"/>
          <w:b w:val="0"/>
          <w:color w:val="000000" w:themeColor="text1"/>
          <w:kern w:val="21"/>
          <w:sz w:val="32"/>
          <w:szCs w:val="32"/>
          <w:highlight w:val="none"/>
          <w:lang w:val="en-US" w:eastAsia="zh-CN"/>
          <w14:textFill>
            <w14:solidFill>
              <w14:schemeClr w14:val="tx1"/>
            </w14:solidFill>
          </w14:textFill>
        </w:rPr>
        <w:t>医保</w:t>
      </w:r>
      <w:r>
        <w:rPr>
          <w:rFonts w:ascii="Times New Roman" w:hAnsi="Times New Roman" w:eastAsia="方正仿宋_GBK"/>
          <w:b w:val="0"/>
          <w:color w:val="000000" w:themeColor="text1"/>
          <w:kern w:val="21"/>
          <w:sz w:val="32"/>
          <w:szCs w:val="32"/>
          <w:highlight w:val="none"/>
          <w14:textFill>
            <w14:solidFill>
              <w14:schemeClr w14:val="tx1"/>
            </w14:solidFill>
          </w14:textFill>
        </w:rPr>
        <w:t>个人账户支付的商品，不得实行不公平、歧视性价格，不得以高于非医保患者的价格销售。</w:t>
      </w:r>
    </w:p>
    <w:p w14:paraId="3202469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黑体_GBK" w:hAnsi="方正黑体_GBK" w:eastAsia="方正黑体_GBK" w:cs="方正黑体_GBK"/>
          <w:color w:val="000000" w:themeColor="text1"/>
          <w:kern w:val="21"/>
          <w:sz w:val="32"/>
          <w:szCs w:val="32"/>
          <w:highlight w:val="none"/>
          <w14:textFill>
            <w14:solidFill>
              <w14:schemeClr w14:val="tx1"/>
            </w14:solidFill>
          </w14:textFill>
        </w:rPr>
      </w:pPr>
      <w:r>
        <w:rPr>
          <w:rFonts w:hint="eastAsia" w:ascii="方正黑体_GBK" w:hAnsi="方正黑体_GBK" w:eastAsia="方正黑体_GBK" w:cs="方正黑体_GBK"/>
          <w:b w:val="0"/>
          <w:color w:val="000000" w:themeColor="text1"/>
          <w:kern w:val="21"/>
          <w:sz w:val="32"/>
          <w:szCs w:val="32"/>
          <w:highlight w:val="none"/>
          <w:lang w:val="en-US" w:eastAsia="zh-CN"/>
          <w14:textFill>
            <w14:solidFill>
              <w14:schemeClr w14:val="tx1"/>
            </w14:solidFill>
          </w14:textFill>
        </w:rPr>
        <w:t>三</w:t>
      </w:r>
      <w:r>
        <w:rPr>
          <w:rFonts w:hint="eastAsia" w:ascii="方正黑体_GBK" w:hAnsi="方正黑体_GBK" w:eastAsia="方正黑体_GBK" w:cs="方正黑体_GBK"/>
          <w:b w:val="0"/>
          <w:color w:val="000000" w:themeColor="text1"/>
          <w:kern w:val="21"/>
          <w:sz w:val="32"/>
          <w:szCs w:val="32"/>
          <w:highlight w:val="none"/>
          <w14:textFill>
            <w14:solidFill>
              <w14:schemeClr w14:val="tx1"/>
            </w14:solidFill>
          </w14:textFill>
        </w:rPr>
        <w:t>、加强基金监管，</w:t>
      </w:r>
      <w:r>
        <w:rPr>
          <w:rFonts w:hint="eastAsia" w:ascii="方正黑体_GBK" w:hAnsi="方正黑体_GBK" w:eastAsia="方正黑体_GBK" w:cs="方正黑体_GBK"/>
          <w:b w:val="0"/>
          <w:color w:val="000000" w:themeColor="text1"/>
          <w:kern w:val="21"/>
          <w:sz w:val="32"/>
          <w:szCs w:val="32"/>
          <w:highlight w:val="none"/>
          <w:lang w:eastAsia="zh-CN"/>
          <w14:textFill>
            <w14:solidFill>
              <w14:schemeClr w14:val="tx1"/>
            </w14:solidFill>
          </w14:textFill>
        </w:rPr>
        <w:t>严肃查处</w:t>
      </w:r>
      <w:r>
        <w:rPr>
          <w:rFonts w:hint="eastAsia" w:ascii="方正黑体_GBK" w:hAnsi="方正黑体_GBK" w:eastAsia="方正黑体_GBK" w:cs="方正黑体_GBK"/>
          <w:b w:val="0"/>
          <w:color w:val="000000" w:themeColor="text1"/>
          <w:kern w:val="21"/>
          <w:sz w:val="32"/>
          <w:szCs w:val="32"/>
          <w:highlight w:val="none"/>
          <w14:textFill>
            <w14:solidFill>
              <w14:schemeClr w14:val="tx1"/>
            </w14:solidFill>
          </w14:textFill>
        </w:rPr>
        <w:t>违规行为</w:t>
      </w:r>
    </w:p>
    <w:p w14:paraId="3CB2265A">
      <w:pPr>
        <w:pStyle w:val="30"/>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Times New Roman" w:hAnsi="Times New Roman" w:eastAsia="方正仿宋_GBK"/>
          <w:b w:val="0"/>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综合视频监控、医保大数据等技术手段筛查分析，聚焦重点违规行为，加强定点零售药店职工医保个人账户使用监管。重点查处</w:t>
      </w:r>
      <w:r>
        <w:rPr>
          <w:rFonts w:hint="eastAsia" w:ascii="Times New Roman" w:hAnsi="Times New Roman" w:eastAsia="方正仿宋_GBK"/>
          <w:b w:val="0"/>
          <w:color w:val="000000" w:themeColor="text1"/>
          <w:kern w:val="21"/>
          <w:sz w:val="32"/>
          <w:szCs w:val="32"/>
          <w:highlight w:val="none"/>
          <w:lang w:val="en-US" w:eastAsia="zh-CN"/>
          <w14:textFill>
            <w14:solidFill>
              <w14:schemeClr w14:val="tx1"/>
            </w14:solidFill>
          </w14:textFill>
        </w:rPr>
        <w:t>医保</w:t>
      </w:r>
      <w:r>
        <w:rPr>
          <w:rFonts w:ascii="Times New Roman" w:hAnsi="Times New Roman" w:eastAsia="方正仿宋_GBK"/>
          <w:b w:val="0"/>
          <w:color w:val="000000" w:themeColor="text1"/>
          <w:kern w:val="21"/>
          <w:sz w:val="32"/>
          <w:szCs w:val="32"/>
          <w:highlight w:val="none"/>
          <w14:textFill>
            <w14:solidFill>
              <w14:schemeClr w14:val="tx1"/>
            </w14:solidFill>
          </w14:textFill>
        </w:rPr>
        <w:t>个人账户支付生活用品等白名单之外的产品，以及空刷套刷、倒卖串换、伪造处方，或通过虚假宣传、诱导消费、冲顶消费等方式违规使用医保基金的行为。畅通举报投诉渠道，落实举报奖励机制，充分发挥社会监督作用。</w:t>
      </w:r>
      <w:r>
        <w:rPr>
          <w:rFonts w:hint="eastAsia" w:ascii="Times New Roman" w:hAnsi="Times New Roman" w:eastAsia="方正仿宋_GBK"/>
          <w:b w:val="0"/>
          <w:color w:val="000000" w:themeColor="text1"/>
          <w:kern w:val="21"/>
          <w:sz w:val="32"/>
          <w:szCs w:val="32"/>
          <w:highlight w:val="none"/>
          <w14:textFill>
            <w14:solidFill>
              <w14:schemeClr w14:val="tx1"/>
            </w14:solidFill>
          </w14:textFill>
        </w:rPr>
        <w:t>对监管中发现的涉及其他部门职责的问题，要及时移送相关主管部门。</w:t>
      </w:r>
    </w:p>
    <w:p w14:paraId="401F885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黑体_GBK" w:hAnsi="方正黑体_GBK" w:eastAsia="方正黑体_GBK" w:cs="方正黑体_GBK"/>
          <w:color w:val="000000" w:themeColor="text1"/>
          <w:kern w:val="21"/>
          <w:sz w:val="32"/>
          <w:szCs w:val="32"/>
          <w:highlight w:val="none"/>
          <w14:textFill>
            <w14:solidFill>
              <w14:schemeClr w14:val="tx1"/>
            </w14:solidFill>
          </w14:textFill>
        </w:rPr>
      </w:pPr>
      <w:r>
        <w:rPr>
          <w:rFonts w:hint="eastAsia" w:ascii="方正黑体_GBK" w:hAnsi="方正黑体_GBK" w:eastAsia="方正黑体_GBK" w:cs="方正黑体_GBK"/>
          <w:b w:val="0"/>
          <w:color w:val="000000" w:themeColor="text1"/>
          <w:kern w:val="21"/>
          <w:sz w:val="32"/>
          <w:szCs w:val="32"/>
          <w:highlight w:val="none"/>
          <w:lang w:val="en-US" w:eastAsia="zh-CN"/>
          <w14:textFill>
            <w14:solidFill>
              <w14:schemeClr w14:val="tx1"/>
            </w14:solidFill>
          </w14:textFill>
        </w:rPr>
        <w:t>四</w:t>
      </w:r>
      <w:r>
        <w:rPr>
          <w:rFonts w:hint="eastAsia" w:ascii="方正黑体_GBK" w:hAnsi="方正黑体_GBK" w:eastAsia="方正黑体_GBK" w:cs="方正黑体_GBK"/>
          <w:b w:val="0"/>
          <w:color w:val="000000" w:themeColor="text1"/>
          <w:kern w:val="21"/>
          <w:sz w:val="32"/>
          <w:szCs w:val="32"/>
          <w:highlight w:val="none"/>
          <w14:textFill>
            <w14:solidFill>
              <w14:schemeClr w14:val="tx1"/>
            </w14:solidFill>
          </w14:textFill>
        </w:rPr>
        <w:t>、</w:t>
      </w:r>
      <w:r>
        <w:rPr>
          <w:rFonts w:hint="eastAsia" w:ascii="方正黑体_GBK" w:hAnsi="方正黑体_GBK" w:eastAsia="方正黑体_GBK" w:cs="方正黑体_GBK"/>
          <w:b w:val="0"/>
          <w:color w:val="000000" w:themeColor="text1"/>
          <w:kern w:val="21"/>
          <w:sz w:val="32"/>
          <w:szCs w:val="32"/>
          <w:highlight w:val="none"/>
          <w:lang w:eastAsia="zh-CN"/>
          <w14:textFill>
            <w14:solidFill>
              <w14:schemeClr w14:val="tx1"/>
            </w14:solidFill>
          </w14:textFill>
        </w:rPr>
        <w:t>强化组织实施，确保政策落地见效</w:t>
      </w:r>
    </w:p>
    <w:p w14:paraId="6D750B3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hint="eastAsia" w:ascii="方正楷体_GBK" w:hAnsi="方正楷体_GBK" w:eastAsia="方正楷体_GBK" w:cs="方正楷体_GBK"/>
          <w:b w:val="0"/>
          <w:color w:val="000000" w:themeColor="text1"/>
          <w:kern w:val="21"/>
          <w:sz w:val="32"/>
          <w:szCs w:val="32"/>
          <w:highlight w:val="none"/>
          <w14:textFill>
            <w14:solidFill>
              <w14:schemeClr w14:val="tx1"/>
            </w14:solidFill>
          </w14:textFill>
        </w:rPr>
        <w:t>（一）提高思想认识。</w:t>
      </w:r>
      <w:r>
        <w:rPr>
          <w:rFonts w:ascii="Times New Roman" w:hAnsi="Times New Roman" w:eastAsia="方正仿宋_GBK"/>
          <w:b w:val="0"/>
          <w:color w:val="000000" w:themeColor="text1"/>
          <w:kern w:val="21"/>
          <w:sz w:val="32"/>
          <w:szCs w:val="32"/>
          <w:highlight w:val="none"/>
          <w14:textFill>
            <w14:solidFill>
              <w14:schemeClr w14:val="tx1"/>
            </w14:solidFill>
          </w14:textFill>
        </w:rPr>
        <w:t>建立白名单制度是规范个人账户使用、防范基金风险、保障参保权益的重要举措，各级医保部门、各定点零售药店要高度重视，密切协同配合，确保政策落地见效。</w:t>
      </w:r>
    </w:p>
    <w:p w14:paraId="3EB2C2E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hint="eastAsia" w:ascii="方正楷体_GBK" w:hAnsi="方正楷体_GBK" w:eastAsia="方正楷体_GBK" w:cs="方正楷体_GBK"/>
          <w:b w:val="0"/>
          <w:color w:val="000000" w:themeColor="text1"/>
          <w:kern w:val="21"/>
          <w:sz w:val="32"/>
          <w:szCs w:val="32"/>
          <w:highlight w:val="none"/>
          <w14:textFill>
            <w14:solidFill>
              <w14:schemeClr w14:val="tx1"/>
            </w14:solidFill>
          </w14:textFill>
        </w:rPr>
        <w:t>（二）强化协议管理。</w:t>
      </w:r>
      <w:r>
        <w:rPr>
          <w:rFonts w:ascii="Times New Roman" w:hAnsi="Times New Roman" w:eastAsia="方正仿宋_GBK"/>
          <w:b w:val="0"/>
          <w:color w:val="000000" w:themeColor="text1"/>
          <w:kern w:val="21"/>
          <w:sz w:val="32"/>
          <w:szCs w:val="32"/>
          <w:highlight w:val="none"/>
          <w14:textFill>
            <w14:solidFill>
              <w14:schemeClr w14:val="tx1"/>
            </w14:solidFill>
          </w14:textFill>
        </w:rPr>
        <w:t>各</w:t>
      </w:r>
      <w:r>
        <w:rPr>
          <w:rFonts w:hint="eastAsia" w:ascii="Times New Roman" w:hAnsi="Times New Roman" w:eastAsia="方正仿宋_GBK"/>
          <w:b w:val="0"/>
          <w:color w:val="000000" w:themeColor="text1"/>
          <w:kern w:val="21"/>
          <w:sz w:val="32"/>
          <w:szCs w:val="32"/>
          <w:highlight w:val="none"/>
          <w:lang w:val="en-US" w:eastAsia="zh-CN"/>
          <w14:textFill>
            <w14:solidFill>
              <w14:schemeClr w14:val="tx1"/>
            </w14:solidFill>
          </w14:textFill>
        </w:rPr>
        <w:t>统筹地区</w:t>
      </w:r>
      <w:r>
        <w:rPr>
          <w:rFonts w:ascii="Times New Roman" w:hAnsi="Times New Roman" w:eastAsia="方正仿宋_GBK"/>
          <w:b w:val="0"/>
          <w:color w:val="000000" w:themeColor="text1"/>
          <w:kern w:val="21"/>
          <w:sz w:val="32"/>
          <w:szCs w:val="32"/>
          <w:highlight w:val="none"/>
          <w14:textFill>
            <w14:solidFill>
              <w14:schemeClr w14:val="tx1"/>
            </w14:solidFill>
          </w14:textFill>
        </w:rPr>
        <w:t>要及时将白名单及有关要求纳入定点零售药店服务协议，制定补充协议或修订协议文本，严格分类分区管理，设置清晰统一的医保标识。</w:t>
      </w:r>
    </w:p>
    <w:p w14:paraId="6E5FF30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hint="eastAsia" w:ascii="方正楷体_GBK" w:hAnsi="方正楷体_GBK" w:eastAsia="方正楷体_GBK" w:cs="方正楷体_GBK"/>
          <w:b w:val="0"/>
          <w:color w:val="000000" w:themeColor="text1"/>
          <w:kern w:val="21"/>
          <w:sz w:val="32"/>
          <w:szCs w:val="32"/>
          <w:highlight w:val="none"/>
          <w14:textFill>
            <w14:solidFill>
              <w14:schemeClr w14:val="tx1"/>
            </w14:solidFill>
          </w14:textFill>
        </w:rPr>
        <w:t>（三）加强宣传解读。</w:t>
      </w:r>
      <w:r>
        <w:rPr>
          <w:rFonts w:ascii="Times New Roman" w:hAnsi="Times New Roman" w:eastAsia="方正仿宋_GBK"/>
          <w:b w:val="0"/>
          <w:color w:val="000000" w:themeColor="text1"/>
          <w:kern w:val="21"/>
          <w:sz w:val="32"/>
          <w:szCs w:val="32"/>
          <w:highlight w:val="none"/>
          <w14:textFill>
            <w14:solidFill>
              <w14:schemeClr w14:val="tx1"/>
            </w14:solidFill>
          </w14:textFill>
        </w:rPr>
        <w:t>各级医保部门要通过政府网站、公众号、定点零售药店等多种渠道宣传解释白名单制度内容，引导参保群众合理使用</w:t>
      </w:r>
      <w:r>
        <w:rPr>
          <w:rFonts w:hint="eastAsia" w:ascii="Times New Roman" w:hAnsi="Times New Roman" w:eastAsia="方正仿宋_GBK"/>
          <w:b w:val="0"/>
          <w:color w:val="000000" w:themeColor="text1"/>
          <w:kern w:val="21"/>
          <w:sz w:val="32"/>
          <w:szCs w:val="32"/>
          <w:highlight w:val="none"/>
          <w:lang w:val="en-US" w:eastAsia="zh-CN"/>
          <w14:textFill>
            <w14:solidFill>
              <w14:schemeClr w14:val="tx1"/>
            </w14:solidFill>
          </w14:textFill>
        </w:rPr>
        <w:t>医保</w:t>
      </w:r>
      <w:r>
        <w:rPr>
          <w:rFonts w:ascii="Times New Roman" w:hAnsi="Times New Roman" w:eastAsia="方正仿宋_GBK"/>
          <w:b w:val="0"/>
          <w:color w:val="000000" w:themeColor="text1"/>
          <w:kern w:val="21"/>
          <w:sz w:val="32"/>
          <w:szCs w:val="32"/>
          <w:highlight w:val="none"/>
          <w14:textFill>
            <w14:solidFill>
              <w14:schemeClr w14:val="tx1"/>
            </w14:solidFill>
          </w14:textFill>
        </w:rPr>
        <w:t>个人账户资金，营造良好社会氛围。</w:t>
      </w:r>
    </w:p>
    <w:p w14:paraId="682179D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本通知自2026年  月  日起施行，此前我区职工医保个人账户在定点零售药店支付范围相关规定与本通知不一致的，以本通知为准。执行中遇有</w:t>
      </w:r>
      <w:r>
        <w:rPr>
          <w:rFonts w:hint="eastAsia" w:ascii="Times New Roman" w:hAnsi="Times New Roman" w:eastAsia="方正仿宋_GBK"/>
          <w:b w:val="0"/>
          <w:color w:val="000000" w:themeColor="text1"/>
          <w:kern w:val="21"/>
          <w:sz w:val="32"/>
          <w:szCs w:val="32"/>
          <w:highlight w:val="none"/>
          <w:lang w:val="en-US" w:eastAsia="zh-CN"/>
          <w14:textFill>
            <w14:solidFill>
              <w14:schemeClr w14:val="tx1"/>
            </w14:solidFill>
          </w14:textFill>
        </w:rPr>
        <w:t>重大</w:t>
      </w:r>
      <w:r>
        <w:rPr>
          <w:rFonts w:ascii="Times New Roman" w:hAnsi="Times New Roman" w:eastAsia="方正仿宋_GBK"/>
          <w:b w:val="0"/>
          <w:color w:val="000000" w:themeColor="text1"/>
          <w:kern w:val="21"/>
          <w:sz w:val="32"/>
          <w:szCs w:val="32"/>
          <w:highlight w:val="none"/>
          <w14:textFill>
            <w14:solidFill>
              <w14:schemeClr w14:val="tx1"/>
            </w14:solidFill>
          </w14:textFill>
        </w:rPr>
        <w:t>问题，及时向自治区医疗保障局报告。</w:t>
      </w:r>
    </w:p>
    <w:p w14:paraId="164F243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b w:val="0"/>
          <w:color w:val="000000" w:themeColor="text1"/>
          <w:kern w:val="21"/>
          <w:sz w:val="32"/>
          <w:szCs w:val="32"/>
          <w:highlight w:val="none"/>
          <w14:textFill>
            <w14:solidFill>
              <w14:schemeClr w14:val="tx1"/>
            </w14:solidFill>
          </w14:textFill>
        </w:rPr>
      </w:pPr>
    </w:p>
    <w:p w14:paraId="1FAF96B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方正仿宋_GBK"/>
          <w:color w:val="000000" w:themeColor="text1"/>
          <w:kern w:val="21"/>
          <w:sz w:val="32"/>
          <w:szCs w:val="32"/>
          <w:highlight w:val="none"/>
          <w:lang w:eastAsia="zh-CN"/>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附件：</w:t>
      </w:r>
      <w:r>
        <w:rPr>
          <w:rFonts w:hint="eastAsia" w:ascii="Times New Roman" w:hAnsi="Times New Roman" w:eastAsia="方正仿宋_GBK"/>
          <w:b w:val="0"/>
          <w:color w:val="000000" w:themeColor="text1"/>
          <w:kern w:val="21"/>
          <w:sz w:val="32"/>
          <w:szCs w:val="32"/>
          <w:highlight w:val="none"/>
          <w14:textFill>
            <w14:solidFill>
              <w14:schemeClr w14:val="tx1"/>
            </w14:solidFill>
          </w14:textFill>
        </w:rPr>
        <w:t>定点零售药店职工医保个人账户白名单</w:t>
      </w:r>
    </w:p>
    <w:p w14:paraId="0E8368D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b w:val="0"/>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 xml:space="preserve">      </w:t>
      </w:r>
      <w:r>
        <w:rPr>
          <w:rFonts w:hint="eastAsia" w:ascii="Times New Roman" w:hAnsi="Times New Roman" w:eastAsia="方正仿宋_GBK"/>
          <w:b w:val="0"/>
          <w:color w:val="000000" w:themeColor="text1"/>
          <w:kern w:val="21"/>
          <w:sz w:val="32"/>
          <w:szCs w:val="32"/>
          <w:highlight w:val="none"/>
          <w:lang w:val="en-US" w:eastAsia="zh-CN"/>
          <w14:textFill>
            <w14:solidFill>
              <w14:schemeClr w14:val="tx1"/>
            </w14:solidFill>
          </w14:textFill>
        </w:rPr>
        <w:t xml:space="preserve">     </w:t>
      </w:r>
    </w:p>
    <w:p w14:paraId="2D823764">
      <w:pPr>
        <w:keepNext w:val="0"/>
        <w:keepLines w:val="0"/>
        <w:pageBreakBefore w:val="0"/>
        <w:widowControl w:val="0"/>
        <w:kinsoku/>
        <w:wordWrap/>
        <w:overflowPunct/>
        <w:topLinePunct w:val="0"/>
        <w:autoSpaceDE/>
        <w:autoSpaceDN/>
        <w:bidi w:val="0"/>
        <w:adjustRightInd/>
        <w:snapToGrid/>
        <w:spacing w:after="0" w:line="560" w:lineRule="exact"/>
        <w:ind w:firstLine="0"/>
        <w:jc w:val="both"/>
        <w:textAlignment w:val="auto"/>
        <w:rPr>
          <w:rFonts w:ascii="Times New Roman" w:hAnsi="Times New Roman" w:eastAsia="方正仿宋_GBK"/>
          <w:b w:val="0"/>
          <w:color w:val="000000" w:themeColor="text1"/>
          <w:kern w:val="21"/>
          <w:sz w:val="32"/>
          <w:szCs w:val="32"/>
          <w:highlight w:val="none"/>
          <w14:textFill>
            <w14:solidFill>
              <w14:schemeClr w14:val="tx1"/>
            </w14:solidFill>
          </w14:textFill>
        </w:rPr>
      </w:pPr>
    </w:p>
    <w:p w14:paraId="69EDE3F5">
      <w:pPr>
        <w:keepNext w:val="0"/>
        <w:keepLines w:val="0"/>
        <w:pageBreakBefore w:val="0"/>
        <w:widowControl w:val="0"/>
        <w:kinsoku/>
        <w:wordWrap/>
        <w:overflowPunct/>
        <w:topLinePunct w:val="0"/>
        <w:autoSpaceDE/>
        <w:autoSpaceDN/>
        <w:bidi w:val="0"/>
        <w:adjustRightInd/>
        <w:snapToGrid/>
        <w:spacing w:after="0" w:line="560" w:lineRule="exact"/>
        <w:ind w:firstLine="3520" w:firstLineChars="1100"/>
        <w:jc w:val="both"/>
        <w:textAlignment w:val="auto"/>
        <w:rPr>
          <w:rFonts w:ascii="Times New Roman" w:hAnsi="Times New Roman" w:eastAsia="方正仿宋_GBK"/>
          <w:b w:val="0"/>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新疆维吾尔自治区医疗保障局</w:t>
      </w:r>
    </w:p>
    <w:p w14:paraId="0A2AF754">
      <w:pPr>
        <w:keepNext w:val="0"/>
        <w:keepLines w:val="0"/>
        <w:pageBreakBefore w:val="0"/>
        <w:widowControl w:val="0"/>
        <w:kinsoku/>
        <w:wordWrap/>
        <w:overflowPunct/>
        <w:topLinePunct w:val="0"/>
        <w:autoSpaceDE/>
        <w:autoSpaceDN/>
        <w:bidi w:val="0"/>
        <w:adjustRightInd/>
        <w:snapToGrid/>
        <w:spacing w:after="0" w:line="560" w:lineRule="exact"/>
        <w:ind w:firstLine="4480" w:firstLineChars="14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2026年</w:t>
      </w:r>
      <w:r>
        <w:rPr>
          <w:rFonts w:hint="eastAsia" w:ascii="Times New Roman" w:hAnsi="Times New Roman" w:eastAsia="方正仿宋_GBK"/>
          <w:b w:val="0"/>
          <w:color w:val="000000" w:themeColor="text1"/>
          <w:kern w:val="21"/>
          <w:sz w:val="32"/>
          <w:szCs w:val="32"/>
          <w:highlight w:val="none"/>
          <w:lang w:val="en-US" w:eastAsia="zh-CN"/>
          <w14:textFill>
            <w14:solidFill>
              <w14:schemeClr w14:val="tx1"/>
            </w14:solidFill>
          </w14:textFill>
        </w:rPr>
        <w:t>9</w:t>
      </w:r>
      <w:r>
        <w:rPr>
          <w:rFonts w:ascii="Times New Roman" w:hAnsi="Times New Roman" w:eastAsia="方正仿宋_GBK"/>
          <w:b w:val="0"/>
          <w:color w:val="000000" w:themeColor="text1"/>
          <w:kern w:val="21"/>
          <w:sz w:val="32"/>
          <w:szCs w:val="32"/>
          <w:highlight w:val="none"/>
          <w14:textFill>
            <w14:solidFill>
              <w14:schemeClr w14:val="tx1"/>
            </w14:solidFill>
          </w14:textFill>
        </w:rPr>
        <w:t>月   日</w:t>
      </w:r>
      <w:r>
        <w:rPr>
          <w:rFonts w:ascii="Times New Roman" w:hAnsi="Times New Roman" w:eastAsia="方正仿宋_GBK"/>
          <w:color w:val="000000" w:themeColor="text1"/>
          <w:kern w:val="21"/>
          <w:sz w:val="32"/>
          <w:szCs w:val="32"/>
          <w:highlight w:val="none"/>
          <w14:textFill>
            <w14:solidFill>
              <w14:schemeClr w14:val="tx1"/>
            </w14:solidFill>
          </w14:textFill>
        </w:rPr>
        <w:br w:type="page"/>
      </w:r>
    </w:p>
    <w:p w14:paraId="12EEBCCF">
      <w:pPr>
        <w:keepNext w:val="0"/>
        <w:keepLines w:val="0"/>
        <w:pageBreakBefore w:val="0"/>
        <w:widowControl w:val="0"/>
        <w:kinsoku/>
        <w:wordWrap/>
        <w:overflowPunct/>
        <w:topLinePunct w:val="0"/>
        <w:autoSpaceDE/>
        <w:autoSpaceDN/>
        <w:bidi w:val="0"/>
        <w:adjustRightInd/>
        <w:snapToGrid/>
        <w:spacing w:before="0" w:after="0" w:line="580" w:lineRule="exact"/>
        <w:ind w:firstLine="0"/>
        <w:jc w:val="left"/>
        <w:textAlignment w:val="auto"/>
        <w:rPr>
          <w:rFonts w:hint="eastAsia" w:ascii="方正黑体_GBK" w:hAnsi="方正黑体_GBK" w:eastAsia="方正黑体_GBK" w:cs="方正黑体_GBK"/>
          <w:color w:val="000000" w:themeColor="text1"/>
          <w:kern w:val="21"/>
          <w:sz w:val="32"/>
          <w:szCs w:val="32"/>
          <w:highlight w:val="none"/>
          <w14:textFill>
            <w14:solidFill>
              <w14:schemeClr w14:val="tx1"/>
            </w14:solidFill>
          </w14:textFill>
        </w:rPr>
      </w:pPr>
      <w:r>
        <w:rPr>
          <w:rFonts w:hint="eastAsia" w:ascii="方正黑体_GBK" w:hAnsi="方正黑体_GBK" w:eastAsia="方正黑体_GBK" w:cs="方正黑体_GBK"/>
          <w:b w:val="0"/>
          <w:color w:val="000000" w:themeColor="text1"/>
          <w:kern w:val="21"/>
          <w:sz w:val="32"/>
          <w:szCs w:val="32"/>
          <w:highlight w:val="none"/>
          <w14:textFill>
            <w14:solidFill>
              <w14:schemeClr w14:val="tx1"/>
            </w14:solidFill>
          </w14:textFill>
        </w:rPr>
        <w:t>附件</w:t>
      </w:r>
    </w:p>
    <w:p w14:paraId="7B0599C6">
      <w:pPr>
        <w:keepNext w:val="0"/>
        <w:keepLines w:val="0"/>
        <w:pageBreakBefore w:val="0"/>
        <w:widowControl w:val="0"/>
        <w:kinsoku/>
        <w:wordWrap/>
        <w:overflowPunct/>
        <w:topLinePunct w:val="0"/>
        <w:autoSpaceDE/>
        <w:autoSpaceDN/>
        <w:bidi w:val="0"/>
        <w:adjustRightInd/>
        <w:snapToGrid/>
        <w:spacing w:before="0" w:after="0" w:line="300" w:lineRule="exact"/>
        <w:ind w:firstLine="0"/>
        <w:jc w:val="center"/>
        <w:textAlignment w:val="auto"/>
        <w:rPr>
          <w:rFonts w:hint="eastAsia" w:ascii="方正小标宋_GBK" w:hAnsi="方正小标宋_GBK" w:eastAsia="方正小标宋_GBK" w:cs="方正小标宋_GBK"/>
          <w:b w:val="0"/>
          <w:color w:val="000000" w:themeColor="text1"/>
          <w:kern w:val="21"/>
          <w:sz w:val="44"/>
          <w:szCs w:val="44"/>
          <w:highlight w:val="none"/>
          <w14:textFill>
            <w14:solidFill>
              <w14:schemeClr w14:val="tx1"/>
            </w14:solidFill>
          </w14:textFill>
        </w:rPr>
      </w:pPr>
    </w:p>
    <w:p w14:paraId="590DE4ED">
      <w:pPr>
        <w:keepNext w:val="0"/>
        <w:keepLines w:val="0"/>
        <w:pageBreakBefore w:val="0"/>
        <w:widowControl w:val="0"/>
        <w:kinsoku/>
        <w:wordWrap/>
        <w:overflowPunct/>
        <w:topLinePunct w:val="0"/>
        <w:autoSpaceDE/>
        <w:autoSpaceDN/>
        <w:bidi w:val="0"/>
        <w:adjustRightInd/>
        <w:snapToGrid/>
        <w:spacing w:before="0" w:after="0" w:line="580" w:lineRule="exact"/>
        <w:ind w:firstLine="0"/>
        <w:jc w:val="center"/>
        <w:textAlignment w:val="auto"/>
        <w:rPr>
          <w:rFonts w:hint="eastAsia" w:ascii="方正小标宋_GBK" w:hAnsi="方正小标宋_GBK" w:eastAsia="方正小标宋_GBK" w:cs="方正小标宋_GBK"/>
          <w:color w:val="000000" w:themeColor="text1"/>
          <w:kern w:val="21"/>
          <w:sz w:val="44"/>
          <w:szCs w:val="44"/>
          <w:highlight w:val="none"/>
          <w14:textFill>
            <w14:solidFill>
              <w14:schemeClr w14:val="tx1"/>
            </w14:solidFill>
          </w14:textFill>
        </w:rPr>
      </w:pPr>
      <w:r>
        <w:rPr>
          <w:rFonts w:hint="eastAsia" w:ascii="方正小标宋_GBK" w:hAnsi="方正小标宋_GBK" w:eastAsia="方正小标宋_GBK" w:cs="方正小标宋_GBK"/>
          <w:b w:val="0"/>
          <w:color w:val="000000" w:themeColor="text1"/>
          <w:kern w:val="21"/>
          <w:sz w:val="44"/>
          <w:szCs w:val="44"/>
          <w:highlight w:val="none"/>
          <w14:textFill>
            <w14:solidFill>
              <w14:schemeClr w14:val="tx1"/>
            </w14:solidFill>
          </w14:textFill>
        </w:rPr>
        <w:t>定点零售药店职工医保个人账户白名单</w:t>
      </w:r>
    </w:p>
    <w:p w14:paraId="20F89FD6">
      <w:pPr>
        <w:keepNext w:val="0"/>
        <w:keepLines w:val="0"/>
        <w:pageBreakBefore w:val="0"/>
        <w:widowControl w:val="0"/>
        <w:kinsoku/>
        <w:wordWrap/>
        <w:overflowPunct/>
        <w:topLinePunct w:val="0"/>
        <w:autoSpaceDE/>
        <w:autoSpaceDN/>
        <w:bidi w:val="0"/>
        <w:adjustRightInd/>
        <w:snapToGrid/>
        <w:spacing w:after="0" w:line="300" w:lineRule="exact"/>
        <w:ind w:firstLine="0"/>
        <w:textAlignment w:val="auto"/>
        <w:rPr>
          <w:rFonts w:ascii="Times New Roman" w:hAnsi="Times New Roman" w:eastAsia="方正仿宋_GBK"/>
          <w:b w:val="0"/>
          <w:color w:val="000000" w:themeColor="text1"/>
          <w:kern w:val="21"/>
          <w:sz w:val="32"/>
          <w:szCs w:val="32"/>
          <w:highlight w:val="none"/>
          <w14:textFill>
            <w14:solidFill>
              <w14:schemeClr w14:val="tx1"/>
            </w14:solidFill>
          </w14:textFill>
        </w:rPr>
      </w:pPr>
    </w:p>
    <w:p w14:paraId="681E82F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pPr>
      <w:r>
        <w:rPr>
          <w:rFonts w:hint="eastAsia" w:ascii="Times New Roman" w:hAnsi="Times New Roman" w:eastAsia="方正仿宋_GBK"/>
          <w:b w:val="0"/>
          <w:color w:val="000000" w:themeColor="text1"/>
          <w:kern w:val="21"/>
          <w:sz w:val="32"/>
          <w:szCs w:val="32"/>
          <w:highlight w:val="none"/>
          <w:lang w:val="en-US" w:eastAsia="zh-CN"/>
          <w14:textFill>
            <w14:solidFill>
              <w14:schemeClr w14:val="tx1"/>
            </w14:solidFill>
          </w14:textFill>
        </w:rPr>
        <w:t xml:space="preserve"> </w:t>
      </w:r>
      <w:r>
        <w:rPr>
          <w:rFonts w:hint="eastAsia" w:ascii="黑体" w:hAnsi="黑体" w:eastAsia="黑体" w:cs="黑体"/>
          <w:b w:val="0"/>
          <w:color w:val="000000" w:themeColor="text1"/>
          <w:kern w:val="21"/>
          <w:sz w:val="32"/>
          <w:szCs w:val="32"/>
          <w:highlight w:val="none"/>
          <w:lang w:eastAsia="zh-CN"/>
          <w14:textFill>
            <w14:solidFill>
              <w14:schemeClr w14:val="tx1"/>
            </w14:solidFill>
          </w14:textFill>
        </w:rPr>
        <w:t>一、正面清单</w:t>
      </w:r>
    </w:p>
    <w:p w14:paraId="2BA90F1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（一）药品类：包括国药准字H（Z、S）、国药准字H（Z、S）C、国药准字H（Z、S）J、国药准字B、国药准字C批文的药品，中药饮片（</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包括</w:t>
      </w:r>
      <w:r>
        <w:rPr>
          <w:rFonts w:ascii="Times New Roman" w:hAnsi="Times New Roman" w:eastAsia="方正仿宋_GBK"/>
          <w:b w:val="0"/>
          <w:color w:val="000000" w:themeColor="text1"/>
          <w:kern w:val="21"/>
          <w:sz w:val="32"/>
          <w:szCs w:val="32"/>
          <w:highlight w:val="none"/>
          <w14:textFill>
            <w14:solidFill>
              <w14:schemeClr w14:val="tx1"/>
            </w14:solidFill>
          </w14:textFill>
        </w:rPr>
        <w:t>国家医保药品目录中不予支付、单方不予支付的中药饮片</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，负面清单</w:t>
      </w:r>
      <w:r>
        <w:rPr>
          <w:rFonts w:ascii="Times New Roman" w:hAnsi="Times New Roman" w:eastAsia="方正仿宋_GBK"/>
          <w:b w:val="0"/>
          <w:color w:val="000000" w:themeColor="text1"/>
          <w:kern w:val="21"/>
          <w:sz w:val="32"/>
          <w:szCs w:val="32"/>
          <w:highlight w:val="none"/>
          <w14:textFill>
            <w14:solidFill>
              <w14:schemeClr w14:val="tx1"/>
            </w14:solidFill>
          </w14:textFill>
        </w:rPr>
        <w:t>中药饮片</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除外</w:t>
      </w:r>
      <w:r>
        <w:rPr>
          <w:rFonts w:ascii="Times New Roman" w:hAnsi="Times New Roman" w:eastAsia="方正仿宋_GBK"/>
          <w:b w:val="0"/>
          <w:color w:val="000000" w:themeColor="text1"/>
          <w:kern w:val="21"/>
          <w:sz w:val="32"/>
          <w:szCs w:val="32"/>
          <w:highlight w:val="none"/>
          <w14:textFill>
            <w14:solidFill>
              <w14:schemeClr w14:val="tx1"/>
            </w14:solidFill>
          </w14:textFill>
        </w:rPr>
        <w:t>）。</w:t>
      </w:r>
    </w:p>
    <w:p w14:paraId="508B4E5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（二）医疗器械类：体温计、血压计、血氧仪、血糖仪、制氧机、雾化器等医疗器械；</w:t>
      </w:r>
      <w:r>
        <w:rPr>
          <w:rFonts w:hint="eastAsia" w:ascii="Times New Roman" w:hAnsi="Times New Roman" w:eastAsia="方正仿宋_GBK"/>
          <w:b w:val="0"/>
          <w:color w:val="000000" w:themeColor="text1"/>
          <w:kern w:val="21"/>
          <w:sz w:val="32"/>
          <w:szCs w:val="32"/>
          <w:highlight w:val="none"/>
          <w14:textFill>
            <w14:solidFill>
              <w14:schemeClr w14:val="tx1"/>
            </w14:solidFill>
          </w14:textFill>
        </w:rPr>
        <w:t>助行器、轮椅、脑机接口医疗器械等康复辅助医疗器械以及按照医疗器械批准的医用动力外骨骼机器人等。</w:t>
      </w:r>
    </w:p>
    <w:p w14:paraId="3B4ABD3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（三）医用耗材类：医用口罩、医用棉签（棉球）、纱布、绷带、创可贴、退热贴以及一次性末梢采血针、笔式注射器及针头、造口护理袋、碘伏帽、导尿管等医用耗材。</w:t>
      </w:r>
    </w:p>
    <w:p w14:paraId="3DF6F30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（四）消毒用品类：获得消毒产品卫生许可批件的医用酒精、医用碘伏、医用双氧水以及主要成分为酒精、碘伏、双氧水的医用消毒用品</w:t>
      </w:r>
      <w:r>
        <w:rPr>
          <w:rFonts w:hint="eastAsia" w:ascii="Times New Roman" w:hAnsi="Times New Roman" w:eastAsia="方正仿宋_GBK"/>
          <w:b w:val="0"/>
          <w:color w:val="000000" w:themeColor="text1"/>
          <w:kern w:val="21"/>
          <w:sz w:val="32"/>
          <w:szCs w:val="32"/>
          <w:highlight w:val="none"/>
          <w:lang w:val="en-US" w:eastAsia="zh-CN"/>
          <w14:textFill>
            <w14:solidFill>
              <w14:schemeClr w14:val="tx1"/>
            </w14:solidFill>
          </w14:textFill>
        </w:rPr>
        <w:t>等</w:t>
      </w:r>
      <w:r>
        <w:rPr>
          <w:rFonts w:ascii="Times New Roman" w:hAnsi="Times New Roman" w:eastAsia="方正仿宋_GBK"/>
          <w:b w:val="0"/>
          <w:color w:val="000000" w:themeColor="text1"/>
          <w:kern w:val="21"/>
          <w:sz w:val="32"/>
          <w:szCs w:val="32"/>
          <w:highlight w:val="none"/>
          <w14:textFill>
            <w14:solidFill>
              <w14:schemeClr w14:val="tx1"/>
            </w14:solidFill>
          </w14:textFill>
        </w:rPr>
        <w:t>。</w:t>
      </w:r>
    </w:p>
    <w:p w14:paraId="46924AE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（五）特殊医学用途配方食品：经国家市场监督管理总局批准上市的特医食品。</w:t>
      </w:r>
    </w:p>
    <w:p w14:paraId="04E3D84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（六）体外诊断试剂类：病原检测试剂、血糖试纸、早孕试纸等。</w:t>
      </w:r>
    </w:p>
    <w:p w14:paraId="1BE1343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黑体" w:hAnsi="黑体" w:eastAsia="黑体" w:cs="黑体"/>
          <w:b w:val="0"/>
          <w:color w:val="000000" w:themeColor="text1"/>
          <w:kern w:val="21"/>
          <w:sz w:val="32"/>
          <w:szCs w:val="32"/>
          <w:highlight w:val="none"/>
          <w:lang w:eastAsia="zh-CN"/>
          <w14:textFill>
            <w14:solidFill>
              <w14:schemeClr w14:val="tx1"/>
            </w14:solidFill>
          </w14:textFill>
        </w:rPr>
      </w:pPr>
      <w:r>
        <w:rPr>
          <w:rFonts w:hint="eastAsia" w:ascii="黑体" w:hAnsi="黑体" w:eastAsia="黑体" w:cs="黑体"/>
          <w:b w:val="0"/>
          <w:color w:val="000000" w:themeColor="text1"/>
          <w:kern w:val="21"/>
          <w:sz w:val="32"/>
          <w:szCs w:val="32"/>
          <w:highlight w:val="none"/>
          <w:lang w:val="en-US" w:eastAsia="zh-CN"/>
          <w14:textFill>
            <w14:solidFill>
              <w14:schemeClr w14:val="tx1"/>
            </w14:solidFill>
          </w14:textFill>
        </w:rPr>
        <w:t xml:space="preserve"> </w:t>
      </w:r>
      <w:r>
        <w:rPr>
          <w:rFonts w:hint="eastAsia" w:ascii="黑体" w:hAnsi="黑体" w:eastAsia="黑体" w:cs="黑体"/>
          <w:b w:val="0"/>
          <w:color w:val="000000" w:themeColor="text1"/>
          <w:kern w:val="21"/>
          <w:sz w:val="32"/>
          <w:szCs w:val="32"/>
          <w:highlight w:val="none"/>
          <w:lang w:eastAsia="zh-CN"/>
          <w14:textFill>
            <w14:solidFill>
              <w14:schemeClr w14:val="tx1"/>
            </w14:solidFill>
          </w14:textFill>
        </w:rPr>
        <w:t>二、负面清单</w:t>
      </w:r>
    </w:p>
    <w:p w14:paraId="58A3AE1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（一）保健品：具有保健食品</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w:t>
      </w:r>
      <w:r>
        <w:rPr>
          <w:rFonts w:ascii="Times New Roman" w:hAnsi="Times New Roman" w:eastAsia="方正仿宋_GBK"/>
          <w:b w:val="0"/>
          <w:color w:val="000000" w:themeColor="text1"/>
          <w:kern w:val="21"/>
          <w:sz w:val="32"/>
          <w:szCs w:val="32"/>
          <w:highlight w:val="none"/>
          <w14:textFill>
            <w14:solidFill>
              <w14:schemeClr w14:val="tx1"/>
            </w14:solidFill>
          </w14:textFill>
        </w:rPr>
        <w:t>蓝帽子</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w:t>
      </w:r>
      <w:r>
        <w:rPr>
          <w:rFonts w:ascii="Times New Roman" w:hAnsi="Times New Roman" w:eastAsia="方正仿宋_GBK"/>
          <w:b w:val="0"/>
          <w:color w:val="000000" w:themeColor="text1"/>
          <w:kern w:val="21"/>
          <w:sz w:val="32"/>
          <w:szCs w:val="32"/>
          <w:highlight w:val="none"/>
          <w14:textFill>
            <w14:solidFill>
              <w14:schemeClr w14:val="tx1"/>
            </w14:solidFill>
          </w14:textFill>
        </w:rPr>
        <w:t>标识的。</w:t>
      </w:r>
    </w:p>
    <w:p w14:paraId="27C8AAC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（二）医疗器械类：</w:t>
      </w:r>
      <w:r>
        <w:rPr>
          <w:rFonts w:hint="eastAsia" w:ascii="Times New Roman" w:hAnsi="Times New Roman" w:eastAsia="方正仿宋_GBK"/>
          <w:b w:val="0"/>
          <w:color w:val="000000" w:themeColor="text1"/>
          <w:kern w:val="21"/>
          <w:sz w:val="32"/>
          <w:szCs w:val="32"/>
          <w:highlight w:val="none"/>
          <w14:textFill>
            <w14:solidFill>
              <w14:schemeClr w14:val="tx1"/>
            </w14:solidFill>
          </w14:textFill>
        </w:rPr>
        <w:t>按照医疗器械批准但生活功能为主、医疗属性不强的家具洁具、家用电器、牙膏牙刷牙线、生活用品、面膜化妆品、隐形眼镜、按摩设备、智能穿戴设备（如智能眼镜、智能手表、智能手环、智能手链、智能项链、智能戒指、智能耳环等）以及主要用于体育健身、养生保健等方面的器械耗材。</w:t>
      </w:r>
    </w:p>
    <w:p w14:paraId="243F583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（三）食品类：米、面、油（包括按中药饮片批准的），不含特医食品。</w:t>
      </w:r>
    </w:p>
    <w:p w14:paraId="7C17ABD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（四）中药饮片：按中药饮片批准</w:t>
      </w:r>
      <w:r>
        <w:rPr>
          <w:rFonts w:hint="eastAsia" w:ascii="Times New Roman" w:hAnsi="Times New Roman" w:eastAsia="方正仿宋_GBK"/>
          <w:b w:val="0"/>
          <w:color w:val="000000" w:themeColor="text1"/>
          <w:kern w:val="21"/>
          <w:sz w:val="32"/>
          <w:szCs w:val="32"/>
          <w:highlight w:val="none"/>
          <w:lang w:eastAsia="zh-CN"/>
          <w14:textFill>
            <w14:solidFill>
              <w14:schemeClr w14:val="tx1"/>
            </w14:solidFill>
          </w14:textFill>
        </w:rPr>
        <w:t>，</w:t>
      </w:r>
      <w:r>
        <w:rPr>
          <w:rFonts w:ascii="Times New Roman" w:hAnsi="Times New Roman" w:eastAsia="方正仿宋_GBK"/>
          <w:b w:val="0"/>
          <w:color w:val="000000" w:themeColor="text1"/>
          <w:kern w:val="21"/>
          <w:sz w:val="32"/>
          <w:szCs w:val="32"/>
          <w:highlight w:val="none"/>
          <w14:textFill>
            <w14:solidFill>
              <w14:schemeClr w14:val="tx1"/>
            </w14:solidFill>
          </w14:textFill>
        </w:rPr>
        <w:t>但单方售卖的八角茴香、小茴香、肉桂、花椒、生姜、黑胡椒、蜂蜜、草果等。</w:t>
      </w:r>
    </w:p>
    <w:p w14:paraId="69E2A07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方正仿宋_GBK"/>
          <w:color w:val="000000" w:themeColor="text1"/>
          <w:kern w:val="21"/>
          <w:sz w:val="32"/>
          <w:szCs w:val="32"/>
          <w:highlight w:val="none"/>
          <w14:textFill>
            <w14:solidFill>
              <w14:schemeClr w14:val="tx1"/>
            </w14:solidFill>
          </w14:textFill>
        </w:rPr>
      </w:pPr>
      <w:r>
        <w:rPr>
          <w:rFonts w:ascii="Times New Roman" w:hAnsi="Times New Roman" w:eastAsia="方正仿宋_GBK"/>
          <w:b w:val="0"/>
          <w:color w:val="000000" w:themeColor="text1"/>
          <w:kern w:val="21"/>
          <w:sz w:val="32"/>
          <w:szCs w:val="32"/>
          <w:highlight w:val="none"/>
          <w14:textFill>
            <w14:solidFill>
              <w14:schemeClr w14:val="tx1"/>
            </w14:solidFill>
          </w14:textFill>
        </w:rPr>
        <w:t>（五）未经药监部门批准的其他产品，但符合可支付范围第（四）（五）项规定的除外。</w:t>
      </w:r>
    </w:p>
    <w:p w14:paraId="1B7DBCF9">
      <w:pPr>
        <w:keepNext w:val="0"/>
        <w:keepLines w:val="0"/>
        <w:pageBreakBefore w:val="0"/>
        <w:widowControl w:val="0"/>
        <w:kinsoku/>
        <w:wordWrap/>
        <w:overflowPunct/>
        <w:topLinePunct w:val="0"/>
        <w:autoSpaceDE/>
        <w:autoSpaceDN/>
        <w:bidi w:val="0"/>
        <w:adjustRightInd/>
        <w:snapToGrid/>
        <w:spacing w:after="0" w:line="560" w:lineRule="exact"/>
        <w:ind w:firstLine="5120" w:firstLineChars="1600"/>
        <w:jc w:val="both"/>
        <w:textAlignment w:val="auto"/>
        <w:rPr>
          <w:rFonts w:hint="eastAsia" w:ascii="Times New Roman" w:hAnsi="Times New Roman" w:eastAsia="方正仿宋_GBK"/>
          <w:b w:val="0"/>
          <w:bCs/>
          <w:color w:val="000000" w:themeColor="text1"/>
          <w:kern w:val="21"/>
          <w14:textFill>
            <w14:solidFill>
              <w14:schemeClr w14:val="tx1"/>
            </w14:solidFill>
          </w14:textFill>
        </w:rPr>
      </w:pPr>
    </w:p>
    <w:sectPr>
      <w:footerReference r:id="rId5" w:type="default"/>
      <w:pgSz w:w="11906" w:h="16838"/>
      <w:pgMar w:top="2098" w:right="1474" w:bottom="1984" w:left="1587" w:header="720" w:footer="720" w:gutter="0"/>
      <w:pgNumType w:fmt="numberInDash"/>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Droid Sans Japanese">
    <w:altName w:val="Segoe UI Symbol"/>
    <w:panose1 w:val="020B0502000000000001"/>
    <w:charset w:val="00"/>
    <w:family w:val="auto"/>
    <w:pitch w:val="default"/>
    <w:sig w:usb0="00000000" w:usb1="00000000" w:usb2="00000010" w:usb3="00000000" w:csb0="00000001" w:csb1="00000000"/>
  </w:font>
  <w:font w:name="ＭＳ 明朝">
    <w:altName w:val="宋体"/>
    <w:panose1 w:val="00000000000000000000"/>
    <w:charset w:val="86"/>
    <w:family w:val="auto"/>
    <w:pitch w:val="default"/>
    <w:sig w:usb0="00000000" w:usb1="00000000" w:usb2="00000000" w:usb3="00000000" w:csb0="00000000" w:csb1="00000000"/>
  </w:font>
  <w:font w:name="仿宋_GB2312">
    <w:altName w:val="方正仿宋_GBK"/>
    <w:panose1 w:val="02010609030101010101"/>
    <w:charset w:val="86"/>
    <w:family w:val="auto"/>
    <w:pitch w:val="default"/>
    <w:sig w:usb0="00000000" w:usb1="00000000" w:usb2="00000000" w:usb3="00000000" w:csb0="0004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Noto Sans Lao">
    <w:altName w:val="Sitka Text"/>
    <w:panose1 w:val="02000500000000000000"/>
    <w:charset w:val="00"/>
    <w:family w:val="auto"/>
    <w:pitch w:val="default"/>
    <w:sig w:usb0="00000000" w:usb1="00000000" w:usb2="00000000" w:usb3="00000000" w:csb0="20000111" w:csb1="41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KSOFEC000A01">
    <w:panose1 w:val="02000000000000000000"/>
    <w:charset w:val="86"/>
    <w:family w:val="auto"/>
    <w:pitch w:val="default"/>
    <w:sig w:usb0="00000001" w:usb1="00000000" w:usb2="00000000" w:usb3="00000000" w:csb0="00040001" w:csb1="00000000"/>
  </w:font>
  <w:font w:name="Yu Gothic">
    <w:panose1 w:val="020B0400000000000000"/>
    <w:charset w:val="80"/>
    <w:family w:val="auto"/>
    <w:pitch w:val="default"/>
    <w:sig w:usb0="E00002FF" w:usb1="2AC7FDFF" w:usb2="00000016" w:usb3="00000000" w:csb0="2002009F" w:csb1="00000000"/>
  </w:font>
  <w:font w:name="Segoe UI Symbol">
    <w:panose1 w:val="020B0502040204020203"/>
    <w:charset w:val="00"/>
    <w:family w:val="auto"/>
    <w:pitch w:val="default"/>
    <w:sig w:usb0="800001E3" w:usb1="1200FFEF" w:usb2="00040000" w:usb3="04000000" w:csb0="00000001" w:csb1="40000000"/>
  </w:font>
  <w:font w:name="Courier New">
    <w:panose1 w:val="02070309020205020404"/>
    <w:charset w:val="00"/>
    <w:family w:val="auto"/>
    <w:pitch w:val="default"/>
    <w:sig w:usb0="E0002EFF" w:usb1="C0007843" w:usb2="00000009" w:usb3="00000000" w:csb0="400001FF" w:csb1="FFFF0000"/>
  </w:font>
  <w:font w:name="Sitka Text">
    <w:panose1 w:val="02000505000000020004"/>
    <w:charset w:val="00"/>
    <w:family w:val="auto"/>
    <w:pitch w:val="default"/>
    <w:sig w:usb0="A00002EF" w:usb1="400020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7EF75">
    <w:pPr>
      <w:pStyle w:val="24"/>
      <w:jc w:val="center"/>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D7F8A2">
                          <w:pPr>
                            <w:pStyle w:val="2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0D7F8A2">
                    <w:pPr>
                      <w:pStyle w:val="2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9286F4D"/>
    <w:rsid w:val="1B5543FC"/>
    <w:rsid w:val="3BBF9C57"/>
    <w:rsid w:val="3FFFA1AF"/>
    <w:rsid w:val="4AB56F48"/>
    <w:rsid w:val="4D8F7784"/>
    <w:rsid w:val="500B441B"/>
    <w:rsid w:val="541A1F8A"/>
    <w:rsid w:val="5BD952F5"/>
    <w:rsid w:val="5CA201C1"/>
    <w:rsid w:val="642344DA"/>
    <w:rsid w:val="709616C4"/>
    <w:rsid w:val="7FDF1330"/>
    <w:rsid w:val="F7EF6A3E"/>
    <w:rsid w:val="FEE774B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3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4215</Words>
  <Characters>4282</Characters>
  <Lines>0</Lines>
  <Paragraphs>0</Paragraphs>
  <TotalTime>3</TotalTime>
  <ScaleCrop>false</ScaleCrop>
  <LinksUpToDate>false</LinksUpToDate>
  <CharactersWithSpaces>4324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2013-12-25T07:15:00Z</dcterms:created>
  <dc:creator>python-docx</dc:creator>
  <dc:description>generated by python-docx</dc:description>
  <cp:lastModifiedBy>石斯尧</cp:lastModifiedBy>
  <dcterms:modified xsi:type="dcterms:W3CDTF">2026-09-11T11:19:27Z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eyJoZGlkIjoiODE2ZjRhMTcwMjcwY2YyYzM0MWI4OTBmNTUzZTA4YWMiLCJ1c2VySWQiOiI3NTAxMjA4NjEifQ==</vt:lpwstr>
  </property>
  <property fmtid="{D5CDD505-2E9C-101B-9397-08002B2CF9AE}" pid="3" name="KSOProductBuildVer">
    <vt:lpwstr>2052-12.1.0.28043</vt:lpwstr>
  </property>
  <property fmtid="{D5CDD505-2E9C-101B-9397-08002B2CF9AE}" pid="4" name="ICV">
    <vt:lpwstr>0B6EF8FA33D94D4E8E1001F2B6AA740A_13</vt:lpwstr>
  </property>
</Properties>
</file>