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102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>
      <w:pPr>
        <w:wordWrap w:val="0"/>
        <w:spacing w:line="600" w:lineRule="exact"/>
        <w:ind w:firstLine="640" w:firstLineChars="200"/>
        <w:rPr>
          <w:rFonts w:hint="eastAsia" w:ascii="华文中宋" w:hAnsi="华文中宋" w:eastAsia="华文中宋" w:cs="华文中宋"/>
          <w:sz w:val="32"/>
          <w:szCs w:val="32"/>
          <w:highlight w:val="none"/>
        </w:rPr>
      </w:pPr>
    </w:p>
    <w:p>
      <w:pPr>
        <w:wordWrap/>
        <w:spacing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国家组织医用耗材集中带量采购（第7批）</w:t>
      </w:r>
    </w:p>
    <w:p>
      <w:pPr>
        <w:wordWrap/>
        <w:spacing w:line="600" w:lineRule="exact"/>
        <w:ind w:firstLine="0" w:firstLineChars="0"/>
        <w:jc w:val="center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中选产品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协议采购量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确认相关规则</w:t>
      </w:r>
    </w:p>
    <w:p>
      <w:pPr>
        <w:wordWrap w:val="0"/>
        <w:spacing w:line="600" w:lineRule="exact"/>
        <w:ind w:firstLine="640" w:firstLineChars="200"/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</w:pPr>
    </w:p>
    <w:p>
      <w:pPr>
        <w:wordWrap w:val="0"/>
        <w:spacing w:line="600" w:lineRule="exact"/>
        <w:ind w:firstLine="640" w:firstLineChars="200"/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  <w:t>根据《国家组织医用耗材集中带量采购（第7批）采购文件（GH-HD2026-2）》文件要求，按照以下规则医疗机构开展中选产品协议采购量分配工作。</w:t>
      </w:r>
    </w:p>
    <w:p>
      <w:pPr>
        <w:wordWrap w:val="0"/>
        <w:spacing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一、直接梯度分配协议采购量</w:t>
      </w:r>
    </w:p>
    <w:p>
      <w:pPr>
        <w:wordWrap w:val="0"/>
        <w:spacing w:line="60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  <w:t>联采办已根据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  <w:t>竞价单元内按中选规则及中选企业的顺位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  <w:t>梯度分配协议采购量，如出现非整数则向上取整至个位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  <w:t>计算得到中选企业该品种各中选产品“分配协议采购量”。</w:t>
      </w:r>
    </w:p>
    <w:p>
      <w:pPr>
        <w:wordWrap w:val="0"/>
        <w:spacing w:line="600" w:lineRule="exact"/>
        <w:ind w:firstLine="640" w:firstLineChars="200"/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  <w:t>1.非竞争不充分竞价单元，梯度分配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  <w:t>协议采购量详见表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  <w:t>。</w:t>
      </w:r>
    </w:p>
    <w:p>
      <w:pPr>
        <w:numPr>
          <w:ilvl w:val="0"/>
          <w:numId w:val="0"/>
        </w:numPr>
        <w:spacing w:line="600" w:lineRule="exact"/>
        <w:jc w:val="center"/>
        <w:rPr>
          <w:rFonts w:hint="default" w:ascii="Times New Roman Regular" w:hAnsi="Times New Roman Regular" w:eastAsia="黑体" w:cs="Times New Roman Regular"/>
          <w:sz w:val="28"/>
          <w:szCs w:val="28"/>
          <w:highlight w:val="none"/>
        </w:rPr>
      </w:pPr>
      <w:r>
        <w:rPr>
          <w:rFonts w:hint="default" w:ascii="Times New Roman Regular" w:hAnsi="Times New Roman Regular" w:eastAsia="黑体" w:cs="Times New Roman Regular"/>
          <w:sz w:val="28"/>
          <w:szCs w:val="28"/>
          <w:highlight w:val="none"/>
        </w:rPr>
        <w:t>表1 中选产品协议采购量确定表</w:t>
      </w:r>
    </w:p>
    <w:tbl>
      <w:tblPr>
        <w:tblStyle w:val="3"/>
        <w:tblW w:w="508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1404"/>
        <w:gridCol w:w="2323"/>
        <w:gridCol w:w="231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  <w:jc w:val="center"/>
        </w:trPr>
        <w:tc>
          <w:tcPr>
            <w:tcW w:w="278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中选规则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中选排名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分配协议采购量</w:t>
            </w:r>
          </w:p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占医疗机构</w:t>
            </w:r>
          </w:p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需求量比例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中选产品待分配量</w:t>
            </w:r>
          </w:p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占医疗机构</w:t>
            </w:r>
          </w:p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需求量比例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788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按规则一中选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100%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788" w:type="dxa"/>
            <w:vMerge w:val="continue"/>
            <w:noWrap w:val="0"/>
            <w:vAlign w:val="top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90%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788" w:type="dxa"/>
            <w:vMerge w:val="continue"/>
            <w:noWrap w:val="0"/>
            <w:vAlign w:val="top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80%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788" w:type="dxa"/>
            <w:vMerge w:val="continue"/>
            <w:noWrap w:val="0"/>
            <w:vAlign w:val="top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≥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4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70%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10%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7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按规则二中选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入围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）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60%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20%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7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按规则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二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中选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未入围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）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0%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0%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27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按规则一中选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产品报价低于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bidi="ar"/>
              </w:rPr>
              <w:t>A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竞价单元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“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锚点价格②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”）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0%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7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按规则三中选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0%</w:t>
            </w:r>
          </w:p>
        </w:tc>
        <w:tc>
          <w:tcPr>
            <w:tcW w:w="245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80%</w:t>
            </w:r>
          </w:p>
        </w:tc>
      </w:tr>
    </w:tbl>
    <w:p>
      <w:pPr>
        <w:wordWrap w:val="0"/>
        <w:spacing w:line="600" w:lineRule="exact"/>
        <w:ind w:firstLine="640" w:firstLineChars="200"/>
        <w:jc w:val="both"/>
        <w:rPr>
          <w:rFonts w:hint="default" w:ascii="Times New Roman Regular" w:hAnsi="Times New Roman Regular" w:eastAsia="黑体" w:cs="Times New Roman Regular"/>
          <w:sz w:val="28"/>
          <w:szCs w:val="28"/>
          <w:highlight w:val="none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竞争不充分竞价单元，梯度分配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协议采购量详见表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>
      <w:pPr>
        <w:wordWrap w:val="0"/>
        <w:spacing w:line="600" w:lineRule="exact"/>
        <w:ind w:firstLine="560" w:firstLineChars="200"/>
        <w:jc w:val="center"/>
        <w:rPr>
          <w:rFonts w:hint="default" w:ascii="Times New Roman Regular" w:hAnsi="Times New Roman Regular" w:eastAsia="黑体" w:cs="Times New Roman Regular"/>
          <w:sz w:val="28"/>
          <w:szCs w:val="28"/>
          <w:highlight w:val="none"/>
        </w:rPr>
      </w:pPr>
      <w:r>
        <w:rPr>
          <w:rFonts w:hint="default" w:ascii="Times New Roman Regular" w:hAnsi="Times New Roman Regular" w:eastAsia="黑体" w:cs="Times New Roman Regular"/>
          <w:sz w:val="28"/>
          <w:szCs w:val="28"/>
          <w:highlight w:val="none"/>
        </w:rPr>
        <w:t>表</w:t>
      </w:r>
      <w:r>
        <w:rPr>
          <w:rFonts w:hint="eastAsia" w:ascii="Times New Roman Regular" w:hAnsi="Times New Roman Regular" w:eastAsia="黑体" w:cs="Times New Roman Regular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 Regular" w:hAnsi="Times New Roman Regular" w:eastAsia="黑体" w:cs="Times New Roman Regular"/>
          <w:sz w:val="28"/>
          <w:szCs w:val="28"/>
          <w:highlight w:val="none"/>
        </w:rPr>
        <w:t xml:space="preserve"> 中选产品协议采购量确定表</w:t>
      </w:r>
    </w:p>
    <w:tbl>
      <w:tblPr>
        <w:tblStyle w:val="3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1457"/>
        <w:gridCol w:w="2166"/>
        <w:gridCol w:w="216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  <w:jc w:val="center"/>
        </w:trPr>
        <w:tc>
          <w:tcPr>
            <w:tcW w:w="288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中选规则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中选排名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分配协议采购量</w:t>
            </w:r>
          </w:p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占医疗机构</w:t>
            </w:r>
          </w:p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需求量比例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中选产品待分配量</w:t>
            </w:r>
          </w:p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占医疗机构</w:t>
            </w:r>
          </w:p>
          <w:p>
            <w:pPr>
              <w:widowControl/>
              <w:jc w:val="center"/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4"/>
                <w:szCs w:val="24"/>
                <w:highlight w:val="none"/>
                <w:lang w:bidi="ar"/>
              </w:rPr>
              <w:t>需求量比例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88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按规则一中选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80%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88" w:type="dxa"/>
            <w:vMerge w:val="continue"/>
            <w:noWrap w:val="0"/>
            <w:vAlign w:val="top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2、3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70%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10%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按规则二中选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入围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）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60%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20%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按规则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二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中选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（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未入围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0%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0%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28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按规则一中选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产品报价低于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bidi="ar"/>
              </w:rPr>
              <w:t>A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竞价单元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“</w:t>
            </w: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锚点价格②</w:t>
            </w:r>
            <w:r>
              <w:rPr>
                <w:rFonts w:hint="eastAsia" w:ascii="Times New Roman Regular" w:hAnsi="Times New Roman Regular" w:eastAsia="仿宋_GB2312" w:cs="Times New Roman Regular"/>
                <w:kern w:val="0"/>
                <w:sz w:val="24"/>
                <w:highlight w:val="none"/>
                <w:lang w:eastAsia="zh-CN" w:bidi="ar"/>
              </w:rPr>
              <w:t>”）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0%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按规则三中选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bidi="ar"/>
              </w:rPr>
              <w:t>——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0%</w:t>
            </w:r>
          </w:p>
        </w:tc>
        <w:tc>
          <w:tcPr>
            <w:tcW w:w="228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highlight w:val="none"/>
                <w:lang w:val="en-US" w:eastAsia="zh-CN" w:bidi="ar"/>
              </w:rPr>
              <w:t>80%</w:t>
            </w:r>
          </w:p>
        </w:tc>
      </w:tr>
    </w:tbl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left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二、医疗机构分配剩余量</w:t>
      </w:r>
    </w:p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医疗机构报量但非中选产品需求量的80%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如出现非整数则向上取整至个位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、医疗机构报量但企业未申报产品需求量的80%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如出现非整数则向上取整至个位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以及中选产品的待分配量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如出现非整数则向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取整至个位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highlight w:val="none"/>
          <w:lang w:val="en-US" w:eastAsia="zh-CN" w:bidi="ar"/>
        </w:rPr>
        <w:t>合并作为该品种的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kern w:val="2"/>
          <w:sz w:val="32"/>
          <w:szCs w:val="32"/>
          <w:highlight w:val="none"/>
          <w:lang w:val="en-US" w:eastAsia="zh-CN" w:bidi="ar"/>
        </w:rPr>
        <w:t>待分配量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>
      <w:pPr>
        <w:wordWrap w:val="0"/>
        <w:spacing w:line="600" w:lineRule="exact"/>
        <w:ind w:firstLine="640" w:firstLineChars="200"/>
        <w:jc w:val="left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三、其他相关规则</w:t>
      </w:r>
    </w:p>
    <w:p>
      <w:pPr>
        <w:wordWrap w:val="0"/>
        <w:spacing w:line="600" w:lineRule="exact"/>
        <w:ind w:firstLine="640" w:firstLineChars="200"/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经口电子成像胆胰导管、经皮电子成像胆胰导管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品种，医疗机构可根据需求自行决定是否分配剩余量以及分配多少剩余量。</w:t>
      </w:r>
    </w:p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各品种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分配剩余量时，医疗机构按首年采购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需求量由低到高排名，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首年采购需求量占比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达到2%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含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时，进入排名范围的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医疗机构，在分配剩余量时，可自主分配给任意中选企业。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具体以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协议采购量确认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系统中数据展示为准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中选企业被某一省份依据医药价格和招采信用评价制度评定为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严重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失信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或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特别严重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失信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的，该省份有权拒绝该企业在当地中选。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DejaVu San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F9EA9"/>
    <w:rsid w:val="5B7F9069"/>
    <w:rsid w:val="5FCF9E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2026-10-16T18:12:00Z</dcterms:created>
  <dc:creator>Pinkle</dc:creator>
  <cp:lastModifiedBy>yczx</cp:lastModifiedBy>
  <dcterms:modified xsi:type="dcterms:W3CDTF">2026-10-16T14:50:12Z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