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A5B34">
      <w:pPr>
        <w:pStyle w:val="5"/>
        <w:widowControl/>
        <w:shd w:val="clear" w:color="auto" w:fill="FFFFFF"/>
        <w:jc w:val="both"/>
        <w:rPr>
          <w:rFonts w:hint="eastAsia" w:ascii="Times New Roman" w:hAnsi="Times New Roman" w:eastAsia="黑体" w:cs="Times New Roman"/>
          <w:sz w:val="32"/>
          <w:szCs w:val="32"/>
        </w:rPr>
      </w:pPr>
      <w:bookmarkStart w:id="0" w:name="_GoBack"/>
      <mc:AlternateContent>
        <mc:Choice Requires="wpsCustomData">
          <wpsCustomData:docfieldStart id="0" docfieldname="附件_3" hidden="0" print="1" readonly="0" index="3"/>
        </mc:Choice>
      </mc:AlternateContent>
      <w:r>
        <w:rPr>
          <w:rFonts w:hint="eastAsia" w:ascii="Times New Roman" w:hAnsi="Times New Roman" w:eastAsia="黑体" w:cs="Times New Roman"/>
          <w:sz w:val="32"/>
          <w:szCs w:val="32"/>
        </w:rPr>
        <w:t xml:space="preserve">附件3 </w:t>
      </w:r>
    </w:p>
    <w:p w14:paraId="6182994B">
      <w:pPr>
        <w:pStyle w:val="5"/>
        <w:widowControl/>
        <w:shd w:val="clear" w:color="auto" w:fill="FFFFFF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专营中药饮片企业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自营仓库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设施</w:t>
      </w:r>
    </w:p>
    <w:p w14:paraId="1B2FBD58">
      <w:pPr>
        <w:pStyle w:val="5"/>
        <w:widowControl/>
        <w:shd w:val="clear" w:color="auto" w:fill="FFFFFF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设备配备表（2000平方米）</w:t>
      </w:r>
      <mc:AlternateContent>
        <mc:Choice Requires="wpsCustomData">
          <wpsCustomData:docfieldEnd id="0"/>
        </mc:Choice>
      </mc:AlternateContent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5"/>
        <w:gridCol w:w="2159"/>
        <w:gridCol w:w="870"/>
        <w:gridCol w:w="915"/>
        <w:gridCol w:w="3945"/>
      </w:tblGrid>
      <w:tr w14:paraId="57BD9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Header/>
        </w:trPr>
        <w:tc>
          <w:tcPr>
            <w:tcW w:w="89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034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分类</w:t>
            </w: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4A2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设施设备名称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D36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必配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A2C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选配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79F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备注</w:t>
            </w:r>
          </w:p>
        </w:tc>
      </w:tr>
      <w:tr w14:paraId="5062D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974" w:hRule="atLeast"/>
        </w:trPr>
        <w:tc>
          <w:tcPr>
            <w:tcW w:w="89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211F36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库</w:t>
            </w:r>
          </w:p>
          <w:p w14:paraId="0184C117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房</w:t>
            </w:r>
          </w:p>
          <w:p w14:paraId="21252D5B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31CD5B94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施</w:t>
            </w:r>
          </w:p>
          <w:p w14:paraId="664E4096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630CCB2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备</w:t>
            </w: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16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1. 自动化立体仓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库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（AS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／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RS）或高架仓库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87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A25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3FC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经营规模选配</w:t>
            </w:r>
          </w:p>
        </w:tc>
      </w:tr>
      <w:tr w14:paraId="40342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0" w:hRule="atLeast"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70CA5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9C8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 xml:space="preserve">2.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自动巷道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堆垛机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F22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864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FF6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经营规模选配</w:t>
            </w:r>
          </w:p>
        </w:tc>
      </w:tr>
      <w:tr w14:paraId="513D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5B0B01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4AC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3. 高位货架或重型组合式货架或隔板货架等其他货架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A1E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A77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E49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经营规模选配</w:t>
            </w:r>
          </w:p>
        </w:tc>
      </w:tr>
      <w:tr w14:paraId="0100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C2EC5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389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 xml:space="preserve">.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自动导向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搬运车、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辅助用电动叉车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119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68A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FF0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经营规模选配</w:t>
            </w:r>
          </w:p>
        </w:tc>
      </w:tr>
      <w:tr w14:paraId="1C367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6C979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769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自动输送设备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25A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82B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C50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经营规模选配</w:t>
            </w:r>
          </w:p>
        </w:tc>
      </w:tr>
      <w:tr w14:paraId="28E5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269690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023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自动分拣设备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F8F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956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958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经营规模选配</w:t>
            </w:r>
          </w:p>
        </w:tc>
      </w:tr>
      <w:tr w14:paraId="6942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DCF4F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D3A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标准托盘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067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A33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71D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数量与经营规模相适应；实行货位管理，一位一码（第十一条）</w:t>
            </w:r>
          </w:p>
        </w:tc>
      </w:tr>
      <w:tr w14:paraId="6645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9D1AE1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3F8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条码编制、打印、扫描设备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7F2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7F4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F2F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信息识别管理设备（第十一条）</w:t>
            </w:r>
          </w:p>
        </w:tc>
      </w:tr>
      <w:tr w14:paraId="44C59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724CA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6D6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9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手持终端（RF）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B8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C73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DCA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信息识别管理设备（第十一条）</w:t>
            </w:r>
          </w:p>
        </w:tc>
      </w:tr>
      <w:tr w14:paraId="1D284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17773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829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电子标签辅助拣货系统（DPS）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580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020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9C5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经营规模选配</w:t>
            </w:r>
          </w:p>
        </w:tc>
      </w:tr>
      <w:tr w14:paraId="38C19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C6401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A7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温湿度调控设备（中央空调系统等）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134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230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8CB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符合相关环境指标要求，可调控库房温湿度并进行库房室内外空气交换（第十一条）</w:t>
            </w:r>
          </w:p>
        </w:tc>
      </w:tr>
      <w:tr w14:paraId="677E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8B114D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157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视频监控设备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594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2F7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C4C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对库区主要作业区全覆盖监控，实时备份，工作图像留存不少于30日（第十一条）</w:t>
            </w:r>
          </w:p>
        </w:tc>
      </w:tr>
      <w:tr w14:paraId="39B7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3177A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A68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双回路供电系统或者备用发电机组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063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73A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20E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备用发电机组功率应当至少能够保障药品仓储作业区域的应急照明，确保冷库设备、温湿度监控设备、计算机控制室（区）及服务器数据中心正常运行（第十一条）</w:t>
            </w:r>
          </w:p>
        </w:tc>
      </w:tr>
      <w:tr w14:paraId="3C19A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8934B6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C0A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冷库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1E2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734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164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经营需冷藏、冷冻储存的中药饮片品种的必配；独立冷库总容积不少于20立方米（第十条）</w:t>
            </w:r>
          </w:p>
        </w:tc>
      </w:tr>
      <w:tr w14:paraId="6F97B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E42130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8EE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计算机硬件系统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F33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750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71A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配置应与中药饮片经营规模相适应（第十八条）</w:t>
            </w:r>
          </w:p>
        </w:tc>
      </w:tr>
      <w:tr w14:paraId="657A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344DB0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C34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网络交换机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B25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F40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633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配置与中药饮片经营规模相适应（第十八条）</w:t>
            </w:r>
          </w:p>
        </w:tc>
      </w:tr>
      <w:tr w14:paraId="57269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9DDDCF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092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. 服务器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1AA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C48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CA9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配置应与中药饮片经营规模相适应（第十八条）</w:t>
            </w:r>
          </w:p>
        </w:tc>
      </w:tr>
      <w:tr w14:paraId="2C18C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2703DF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运</w:t>
            </w:r>
          </w:p>
          <w:p w14:paraId="7EA9A7C5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输</w:t>
            </w:r>
          </w:p>
          <w:p w14:paraId="2FAF04D0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5D324826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施</w:t>
            </w:r>
          </w:p>
          <w:p w14:paraId="2A7B54AA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18A80DA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备</w:t>
            </w: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BDA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1. 密闭式运输车辆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F3B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65B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0B9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数量应与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配送规模相适应（第十二条）</w:t>
            </w:r>
          </w:p>
        </w:tc>
      </w:tr>
      <w:tr w14:paraId="5A51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3AC9C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E8A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2. 车辆卫星定位设备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A9E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CEE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625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对车辆运输状态进行实时监测（第十二条）</w:t>
            </w:r>
          </w:p>
        </w:tc>
      </w:tr>
      <w:tr w14:paraId="76F5C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671D71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C67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3. 保温箱或车载冷藏箱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BD4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3C9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0D2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运输需冷藏冷冻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的中药饮片时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必配（第十二条）</w:t>
            </w:r>
          </w:p>
        </w:tc>
      </w:tr>
      <w:tr w14:paraId="4389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B32D83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273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4. 冷藏车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E14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BE2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EAB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开展冷藏冷冻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的中药饮片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运输业务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时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必配（第十二条）</w:t>
            </w:r>
          </w:p>
        </w:tc>
      </w:tr>
      <w:tr w14:paraId="734DB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3990B7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信</w:t>
            </w:r>
          </w:p>
          <w:p w14:paraId="4A7C2F3C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息</w:t>
            </w:r>
          </w:p>
          <w:p w14:paraId="499FB583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化</w:t>
            </w:r>
          </w:p>
          <w:p w14:paraId="436EE86C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管</w:t>
            </w:r>
          </w:p>
          <w:p w14:paraId="25F9CB9F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理</w:t>
            </w:r>
          </w:p>
          <w:p w14:paraId="66517664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系</w:t>
            </w:r>
          </w:p>
          <w:p w14:paraId="2871EFC9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统</w:t>
            </w: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E83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1. 企业资源计划管理系统（ERP）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5DD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0A3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82B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应覆盖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中药饮片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经营活动管理全过程（第十六条）</w:t>
            </w:r>
          </w:p>
        </w:tc>
      </w:tr>
      <w:tr w14:paraId="0AE9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28222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05F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2. 仓储管理系统（WMS）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016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0B7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A4C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应与ERP、TMS数据实时、准确对接，具备全程货物查询和追踪功能（第十六条）</w:t>
            </w:r>
          </w:p>
        </w:tc>
      </w:tr>
      <w:tr w14:paraId="15662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551E8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897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3. 设备控制系统（WCS）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8D3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0CF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939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配备自动化物流设备时必配（第十六条）</w:t>
            </w:r>
          </w:p>
        </w:tc>
      </w:tr>
      <w:tr w14:paraId="5B4C3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79C1F0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3A7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4. 运输管理系统（TMS）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105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1C0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DD1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对运输计划、品种、数量、批号、工具、人员、发货时间、到货时间、在途运输轨迹、签收及冷链药品温度等进行跟踪、记录和调度（第十六条）</w:t>
            </w:r>
          </w:p>
        </w:tc>
      </w:tr>
      <w:tr w14:paraId="5CF1B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E2D39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AFA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5. 全球定位系统（GPS）或北斗导航系统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995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B77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AD9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对车辆运输状态进行实时监测（第十二条）</w:t>
            </w:r>
          </w:p>
        </w:tc>
      </w:tr>
      <w:tr w14:paraId="1D228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37D88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57E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6. 温湿度自动监测系统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DA7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716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716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对仓库温湿度及冷藏、冷冻药品运输温度开展实时监测、记录及异常报警（第十六条）</w:t>
            </w:r>
          </w:p>
        </w:tc>
      </w:tr>
      <w:tr w14:paraId="0566C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06807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43E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7. 药品追溯系统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5EE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D13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1F8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实现药品各级包装单元的可关联追溯、可核查（第四条、第十六条）</w:t>
            </w:r>
          </w:p>
        </w:tc>
      </w:tr>
      <w:tr w14:paraId="7FFD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A22825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107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8. 库区视频监控系统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1DA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B7B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649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应与视频监控设备联动，实现实时备份（第十一条）</w:t>
            </w:r>
          </w:p>
        </w:tc>
      </w:tr>
      <w:tr w14:paraId="7905B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19FB9F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F4B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9. 操作系统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4A9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FC4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832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操作系统、数据库、网络安全与应用安全管理等软件应与药品经营规模相适应（第十五条）</w:t>
            </w:r>
          </w:p>
        </w:tc>
      </w:tr>
      <w:tr w14:paraId="5E52F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53" w:hRule="atLeast"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A02FE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2E1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10. 数据库软件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732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CCB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FDC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保证各类记录真实、准确、安全和可追溯（第十五条）</w:t>
            </w:r>
          </w:p>
        </w:tc>
      </w:tr>
      <w:tr w14:paraId="79EB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9" w:hRule="atLeast"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66AFE8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9A7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11. 网络安全软件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78D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404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0C8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满足网络安全与应用安全管理需要（第十五条）</w:t>
            </w:r>
          </w:p>
        </w:tc>
      </w:tr>
      <w:tr w14:paraId="1F847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233" w:hRule="atLeast"/>
        </w:trPr>
        <w:tc>
          <w:tcPr>
            <w:tcW w:w="89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D8AB1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1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30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12. 数据备份系统（异地服务器、多机热备或云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存储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等）</w:t>
            </w:r>
          </w:p>
        </w:tc>
        <w:tc>
          <w:tcPr>
            <w:tcW w:w="8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4B9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9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587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F32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数据按日备份；其他系统数据记录至少保存5年，且不少于药品有效期满后1年（第十八条）</w:t>
            </w:r>
          </w:p>
        </w:tc>
      </w:tr>
    </w:tbl>
    <w:p w14:paraId="601B862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1.专营中药饮片的经营企业仓库储存区整体使用面积应不少于2000平方米（其中阴凉库使用面积不少于1000平方米），仓库实际应用高度应达到4米（含）以上（《办法》第十条）。2.标注“√”为应当配备项；“选配”项按经营范围、经营规模或业务需要配备，备注中注明“必配”的，开展相应业务时必须配备。</w:t>
      </w:r>
    </w:p>
    <w:p w14:paraId="60AC7410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EBBABE"/>
    <w:rsid w:val="5F7F1BC0"/>
    <w:rsid w:val="BEEBBABE"/>
    <w:rsid w:val="DFFAE4E7"/>
    <w:rsid w:val="FFDAE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customStyle="1" w:styleId="5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2026-10-10T11:46:00Z</dcterms:created>
  <dc:creator>syj</dc:creator>
  <cp:lastModifiedBy>syj</cp:lastModifiedBy>
  <dcterms:modified xsi:type="dcterms:W3CDTF">2026-10-10T11:47:50Z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F90D2F679C0573AB27B5C96A6F612512_41</vt:lpwstr>
  </property>
</Properties>
</file>