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EE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480" w:line="56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41" w:name="_GoBack"/>
      <w:bookmarkEnd w:id="4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广东省医学营养食品挂网交易编码规则</w:t>
      </w:r>
    </w:p>
    <w:p w14:paraId="52D37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第一章 总则</w:t>
      </w:r>
      <w:bookmarkEnd w:id="0"/>
    </w:p>
    <w:p w14:paraId="46BFD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" w:name="heading_1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第一条 制定目的</w:t>
      </w:r>
      <w:bookmarkEnd w:id="1"/>
    </w:p>
    <w:p w14:paraId="758EE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规范广东省医学营养食品挂网交易产品的统一标识管理，落实"一品一规一码"管理要求，实现产品从准入评审、挂网采购、院内流通到终端收费的全链路数字化追溯，保障平台交易产品身份可核验、来源可追溯、数据可统计，特制定本规则。</w:t>
      </w:r>
    </w:p>
    <w:p w14:paraId="5F837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heading_2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第二条 制定依据</w:t>
      </w:r>
      <w:bookmarkEnd w:id="2"/>
    </w:p>
    <w:p w14:paraId="4ECD4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参照国家医保药品编码管理框架，依据《广东省医学营养食品挂网采购项目具体实施细则》《广东省医学营养食品挂网交易产品分类填报说明》等文件，结合我省医学营养食品集中采购工作实际制定。</w:t>
      </w:r>
    </w:p>
    <w:p w14:paraId="2D43A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heading_3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第三条 适用范围</w:t>
      </w:r>
      <w:bookmarkEnd w:id="3"/>
    </w:p>
    <w:p w14:paraId="1F60A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本规则适用于所有在广东省医学营养食品挂网交易平台申报、挂网、交易的医学营养食品，涵盖特殊医学用途配方食品、保健食品、其他特殊膳食用食品、临床特殊需求的食品四大类。</w:t>
      </w:r>
    </w:p>
    <w:p w14:paraId="0CFA2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编码作为产品在广东省平台内的唯一身份标识，贯穿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技术评审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、挂网公示、采购订单、入库验收、零售结算、数据统计、监管追溯全流程。</w:t>
      </w:r>
    </w:p>
    <w:p w14:paraId="65CA2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" w:name="heading_4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第四条 基本原则</w:t>
      </w:r>
      <w:bookmarkEnd w:id="4"/>
    </w:p>
    <w:p w14:paraId="3381F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（一）一品一规一码。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同一企业生产的同一配方、同一规格、同一包装的产品赋予唯一编码，不同规格、不同包装分别赋码，确保编码与产品一一对应。</w:t>
      </w:r>
    </w:p>
    <w:p w14:paraId="2A875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（二）全省统一唯一。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编码在广东省医学营养食品挂网交易平台范围内唯一，不重复、不冲突，跨医疗机构、跨交易场景通用。</w:t>
      </w:r>
    </w:p>
    <w:p w14:paraId="4F2F4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（三）分层可扩展。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编码采用分层分段结构，与产品分类体系对应，分类码采用字母数字混合编码预留充足扩展位，支持新品类、新产品持续扩容，满足20万以上品规的管理需求，适配行业长期发展。</w:t>
      </w:r>
    </w:p>
    <w:p w14:paraId="75C40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（四）全程可追溯。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编码承载产品分类、企业、规格等关键信息，配合平台交易数据可实现全链路追踪，确保医疗机构流通使用的均为省平台挂网产品。</w:t>
      </w:r>
    </w:p>
    <w:p w14:paraId="68227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" w:name="heading_5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第五条 字符集定义</w:t>
      </w:r>
      <w:bookmarkEnd w:id="5"/>
    </w:p>
    <w:p w14:paraId="64766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本编码规则采用字母数字混合字符集，共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32个有效字符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，具体包括：</w:t>
      </w:r>
    </w:p>
    <w:p w14:paraId="47A505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数字10个：0、1、2、3、4、5、6、7、8、9</w:t>
      </w:r>
    </w:p>
    <w:p w14:paraId="6BD7DE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大写字母22个：A、B、C、D、E、F、G、H、J、K、M、N、P、R、S、T、U、V、W、X、Y、Z</w:t>
      </w:r>
    </w:p>
    <w:p w14:paraId="2CA28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排除字符说明：排除字母I、L、O、Q四个易与数字混淆的字符（I与1、L与1、O与0、Q与0/9易混淆），降低人工录入错误率。字母不区分大小写，展示及存储统一采用大写形式。</w:t>
      </w:r>
    </w:p>
    <w:p w14:paraId="455D8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C5D5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值映射规则：32个有效字符按顺序依次映射为0~31的数值，即0=0、1=1、…、9=9、A=10、B=11、C=12、D=13、E=14、F=15、G=16、H=17、J=18、K=19、M=20、N=21、P=22、R=23、S=24、T=25、U=26、V=27、W=28、X=29、Y=30、Z=31，用于校验码计算及排序比对。</w:t>
      </w:r>
    </w:p>
    <w:p w14:paraId="6B7DB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6" w:name="heading_6"/>
    </w:p>
    <w:p w14:paraId="4409A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第二章 编码结构与编码规则</w:t>
      </w:r>
      <w:bookmarkEnd w:id="6"/>
    </w:p>
    <w:p w14:paraId="722CA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7" w:name="heading_7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第六条 编码总体结构</w:t>
      </w:r>
      <w:bookmarkEnd w:id="7"/>
    </w:p>
    <w:p w14:paraId="5EADB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广东省医学营养食品统一编码采用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16位字母数字混合码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结构，参照国家医保药品编码的字母+数字组合编码思路，共分七段，兼顾可读性与扩展性，可支持20万以上品规的管理需求。各段含义如下：</w:t>
      </w:r>
    </w:p>
    <w:tbl>
      <w:tblPr>
        <w:tblStyle w:val="3"/>
        <w:tblW w:w="9315" w:type="dxa"/>
        <w:tblInd w:w="-345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2"/>
        <w:gridCol w:w="1617"/>
        <w:gridCol w:w="1014"/>
        <w:gridCol w:w="1608"/>
        <w:gridCol w:w="3814"/>
      </w:tblGrid>
      <w:tr w14:paraId="20E4316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8A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段号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9E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33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位数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63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字符类型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A66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含义说明</w:t>
            </w:r>
          </w:p>
        </w:tc>
      </w:tr>
      <w:tr w14:paraId="0325265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6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第一段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55D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大类码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8B7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6F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大写字母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1E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标识产品所属四大类别（特医、保健、特殊膳食、临床需求）</w:t>
            </w:r>
          </w:p>
        </w:tc>
      </w:tr>
      <w:tr w14:paraId="54AACA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49C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第二段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42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亚类码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F75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A67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数字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23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标识大类下的二级分类</w:t>
            </w:r>
          </w:p>
        </w:tc>
      </w:tr>
      <w:tr w14:paraId="3D3F6C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F5D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第三段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E9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细类码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B93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61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字母数字混合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23E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标识亚类下的三级细分品类，预留充足扩展位</w:t>
            </w:r>
          </w:p>
        </w:tc>
      </w:tr>
      <w:tr w14:paraId="551889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552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第四段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A2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企业码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4B1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E31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字母数字混合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B4D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平台内生产企业唯一编号</w:t>
            </w:r>
          </w:p>
        </w:tc>
      </w:tr>
      <w:tr w14:paraId="524B30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77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第五段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00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产品序号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F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40E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数字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2DB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同一企业同一细类下的产品流水号</w:t>
            </w:r>
          </w:p>
        </w:tc>
      </w:tr>
      <w:tr w14:paraId="3CA695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AF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第六段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EC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规格剂型码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3E6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01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数字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1D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标识产品剂型与包装规格特征</w:t>
            </w:r>
          </w:p>
        </w:tc>
      </w:tr>
      <w:tr w14:paraId="1F96CB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44B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第七段</w:t>
            </w:r>
          </w:p>
        </w:tc>
        <w:tc>
          <w:tcPr>
            <w:tcW w:w="16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33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校验码</w:t>
            </w:r>
          </w:p>
        </w:tc>
        <w:tc>
          <w:tcPr>
            <w:tcW w:w="10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5E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1位</w:t>
            </w:r>
          </w:p>
        </w:tc>
        <w:tc>
          <w:tcPr>
            <w:tcW w:w="16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C1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数字</w:t>
            </w:r>
          </w:p>
        </w:tc>
        <w:tc>
          <w:tcPr>
            <w:tcW w:w="38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5C0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用于校验编码合法性，防止录入错误</w:t>
            </w:r>
          </w:p>
        </w:tc>
      </w:tr>
    </w:tbl>
    <w:p w14:paraId="1A541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编码示例：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A 2 04 A01F 00008 22 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（分段展示，实际使用为连续16位字符：A204A01F00008223）</w:t>
      </w:r>
    </w:p>
    <w:p w14:paraId="4702C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8" w:name="heading_8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第七条 第一段：大类码（第1位）</w:t>
      </w:r>
      <w:bookmarkEnd w:id="8"/>
    </w:p>
    <w:p w14:paraId="47C8C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采用大写字母编码，对应四大类产品，便于直观识别品类归属，编码如下：</w:t>
      </w:r>
    </w:p>
    <w:tbl>
      <w:tblPr>
        <w:tblStyle w:val="3"/>
        <w:tblW w:w="861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3630"/>
        <w:gridCol w:w="3690"/>
      </w:tblGrid>
      <w:tr w14:paraId="4C644E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44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编码</w:t>
            </w:r>
          </w:p>
        </w:tc>
        <w:tc>
          <w:tcPr>
            <w:tcW w:w="3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6B6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产品大类</w:t>
            </w:r>
          </w:p>
        </w:tc>
        <w:tc>
          <w:tcPr>
            <w:tcW w:w="36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CFE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说明</w:t>
            </w:r>
          </w:p>
        </w:tc>
      </w:tr>
      <w:tr w14:paraId="7510DF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84A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</w:t>
            </w:r>
          </w:p>
        </w:tc>
        <w:tc>
          <w:tcPr>
            <w:tcW w:w="3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ED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特殊医学用途配方食品（FSMP）</w:t>
            </w:r>
          </w:p>
        </w:tc>
        <w:tc>
          <w:tcPr>
            <w:tcW w:w="36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4B7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取得特医食品注册证书的产品</w:t>
            </w:r>
          </w:p>
        </w:tc>
      </w:tr>
      <w:tr w14:paraId="05D1BB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68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B</w:t>
            </w:r>
          </w:p>
        </w:tc>
        <w:tc>
          <w:tcPr>
            <w:tcW w:w="3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F96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保健食品</w:t>
            </w:r>
          </w:p>
        </w:tc>
        <w:tc>
          <w:tcPr>
            <w:tcW w:w="36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73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取得保健食品注册证或备案凭证的产品</w:t>
            </w:r>
          </w:p>
        </w:tc>
      </w:tr>
      <w:tr w14:paraId="196F3A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965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C</w:t>
            </w:r>
          </w:p>
        </w:tc>
        <w:tc>
          <w:tcPr>
            <w:tcW w:w="3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263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其他特殊膳食用食品</w:t>
            </w:r>
          </w:p>
        </w:tc>
        <w:tc>
          <w:tcPr>
            <w:tcW w:w="36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EEE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符合GB 13432的其他特殊膳食用食品</w:t>
            </w:r>
          </w:p>
        </w:tc>
      </w:tr>
      <w:tr w14:paraId="2E0920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BC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D</w:t>
            </w:r>
          </w:p>
        </w:tc>
        <w:tc>
          <w:tcPr>
            <w:tcW w:w="3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DC6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临床特殊需求的食品</w:t>
            </w:r>
          </w:p>
        </w:tc>
        <w:tc>
          <w:tcPr>
            <w:tcW w:w="36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1E0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临床有特殊需求但不属于前三类的普通食品</w:t>
            </w:r>
          </w:p>
        </w:tc>
      </w:tr>
    </w:tbl>
    <w:p w14:paraId="6F24B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9" w:name="heading_9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第八条 第二段：亚类码（第2位）</w:t>
      </w:r>
      <w:bookmarkEnd w:id="9"/>
    </w:p>
    <w:p w14:paraId="70BB3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采用数字编码，各大类下的二级亚类编码如下：</w:t>
      </w:r>
    </w:p>
    <w:p w14:paraId="5B9B8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（一）A 特殊医学用途配方食品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855"/>
      </w:tblGrid>
      <w:tr w14:paraId="226F63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C6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A1</w:t>
            </w:r>
          </w:p>
        </w:tc>
        <w:tc>
          <w:tcPr>
            <w:tcW w:w="68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3DA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特殊医学用途婴儿配方食品（0~12月龄）</w:t>
            </w:r>
          </w:p>
        </w:tc>
      </w:tr>
      <w:tr w14:paraId="25EEB8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2F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</w:t>
            </w:r>
          </w:p>
        </w:tc>
        <w:tc>
          <w:tcPr>
            <w:tcW w:w="68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AD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适用于1岁以上人群的特殊医学用途配方食品</w:t>
            </w:r>
          </w:p>
        </w:tc>
      </w:tr>
    </w:tbl>
    <w:p w14:paraId="58E8D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楷体_GB2312" w:hAnsi="楷体_GB2312" w:eastAsia="楷体_GB2312" w:cs="楷体_GB2312"/>
          <w:b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（二）B 保健食品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000"/>
      </w:tblGrid>
      <w:tr w14:paraId="603615B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2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B1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253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保健食品（营养素补充剂）</w:t>
            </w:r>
          </w:p>
        </w:tc>
      </w:tr>
      <w:tr w14:paraId="513CEF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B29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B2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32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保健食品（非营养素补充剂）</w:t>
            </w:r>
          </w:p>
        </w:tc>
      </w:tr>
    </w:tbl>
    <w:p w14:paraId="06222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楷体_GB2312" w:hAnsi="楷体_GB2312" w:eastAsia="楷体_GB2312" w:cs="楷体_GB2312"/>
          <w:b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（三）C 其他特殊膳食用食品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6000"/>
      </w:tblGrid>
      <w:tr w14:paraId="13B6E3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C68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C1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F6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运动营养食品</w:t>
            </w:r>
          </w:p>
        </w:tc>
      </w:tr>
      <w:tr w14:paraId="16A8E3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7C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C2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D3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孕妇及乳母营养补充食品</w:t>
            </w:r>
          </w:p>
        </w:tc>
      </w:tr>
      <w:tr w14:paraId="7DBF35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33F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C3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35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辅食营养补充品</w:t>
            </w:r>
          </w:p>
        </w:tc>
      </w:tr>
      <w:tr w14:paraId="7C359A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6B0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C9</w:t>
            </w:r>
          </w:p>
        </w:tc>
        <w:tc>
          <w:tcPr>
            <w:tcW w:w="6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825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其他特殊膳食用食品（未列明子类）</w:t>
            </w:r>
          </w:p>
        </w:tc>
      </w:tr>
    </w:tbl>
    <w:p w14:paraId="20392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楷体_GB2312" w:hAnsi="楷体_GB2312" w:eastAsia="楷体_GB2312" w:cs="楷体_GB2312"/>
          <w:b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（四）D 临床特殊需求的食品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4605"/>
      </w:tblGrid>
      <w:tr w14:paraId="2417C9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BB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D1</w:t>
            </w:r>
          </w:p>
        </w:tc>
        <w:tc>
          <w:tcPr>
            <w:tcW w:w="4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882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慢病营养支持类</w:t>
            </w:r>
          </w:p>
        </w:tc>
      </w:tr>
      <w:tr w14:paraId="6ACE2D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FD6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D2</w:t>
            </w:r>
          </w:p>
        </w:tc>
        <w:tc>
          <w:tcPr>
            <w:tcW w:w="4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D7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术后康复营养类</w:t>
            </w:r>
          </w:p>
        </w:tc>
      </w:tr>
      <w:tr w14:paraId="4FD5060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71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D3</w:t>
            </w:r>
          </w:p>
        </w:tc>
        <w:tc>
          <w:tcPr>
            <w:tcW w:w="4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014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老年营养支持类</w:t>
            </w:r>
          </w:p>
        </w:tc>
      </w:tr>
      <w:tr w14:paraId="3C6AF8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7FB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D9</w:t>
            </w:r>
          </w:p>
        </w:tc>
        <w:tc>
          <w:tcPr>
            <w:tcW w:w="46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E0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其他临床特殊需求食品</w:t>
            </w:r>
          </w:p>
        </w:tc>
      </w:tr>
    </w:tbl>
    <w:p w14:paraId="0CA8E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0" w:name="heading_10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第九条 第三段：细类码（第3-4位）</w:t>
      </w:r>
      <w:bookmarkEnd w:id="10"/>
    </w:p>
    <w:p w14:paraId="67CF5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采用2位字母数字混合编码，共32×32=1024种组合，与《分类填报说明》中的细分类一一对应。</w:t>
      </w:r>
    </w:p>
    <w:p w14:paraId="17C4D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编码规则：</w:t>
      </w:r>
    </w:p>
    <w:p w14:paraId="132F4A9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数字优先原则：前99个细类使用十进制数字编码（01~99），按分类填报说明的细分类目顺序排列；</w:t>
      </w:r>
    </w:p>
    <w:p w14:paraId="3B4B782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字母扩展原则：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数字位用完后启用字母位扩展，第一位为数字、第二位为字母，或两位均为字母，用于新增品类及特殊分类；</w:t>
      </w:r>
    </w:p>
    <w:p w14:paraId="58A2612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末位ZZ规则：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各亚类下"其他"类统一使用ZZ编码，作为兜底分类。</w:t>
      </w:r>
    </w:p>
    <w:p w14:paraId="7DB71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A2 1岁以上特医食品细类示例：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6525"/>
      </w:tblGrid>
      <w:tr w14:paraId="386FEE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04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A201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D3B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全营养配方食品（1岁~10岁）</w:t>
            </w:r>
          </w:p>
        </w:tc>
      </w:tr>
      <w:tr w14:paraId="04DB68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A3D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A202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6A7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全营养配方食品（10岁以上）</w:t>
            </w:r>
          </w:p>
        </w:tc>
      </w:tr>
      <w:tr w14:paraId="32CB2D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976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A203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C75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部分营养调整型全营养配方食品</w:t>
            </w:r>
          </w:p>
        </w:tc>
      </w:tr>
      <w:tr w14:paraId="0154400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49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A204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D1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特定全营养配方食品（肿瘤）</w:t>
            </w:r>
          </w:p>
        </w:tc>
      </w:tr>
      <w:tr w14:paraId="66E28F8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4D0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A205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ABA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特定全营养配方食品（肾病）</w:t>
            </w:r>
          </w:p>
        </w:tc>
      </w:tr>
      <w:tr w14:paraId="655684C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F32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A206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B0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特定全营养配方食品（糖尿病）</w:t>
            </w:r>
          </w:p>
        </w:tc>
      </w:tr>
      <w:tr w14:paraId="2879B3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E1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A207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FC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非全营养配方食品（营养素组件）</w:t>
            </w:r>
          </w:p>
        </w:tc>
      </w:tr>
      <w:tr w14:paraId="50A8E80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BA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A208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743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非全营养配方食品（增稠组件）</w:t>
            </w:r>
          </w:p>
        </w:tc>
      </w:tr>
      <w:tr w14:paraId="33E3853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EB8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A209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D9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非全营养配方食品（术前碳水化合物配方）</w:t>
            </w:r>
          </w:p>
        </w:tc>
      </w:tr>
      <w:tr w14:paraId="1242B9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B12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A2ZZ</w:t>
            </w:r>
          </w:p>
        </w:tc>
        <w:tc>
          <w:tcPr>
            <w:tcW w:w="65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F5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其他非全营养配方食品（兜底分类）</w:t>
            </w:r>
          </w:p>
        </w:tc>
      </w:tr>
    </w:tbl>
    <w:p w14:paraId="7AE1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其他亚类细类编码按同等规则编制。细类编码表由平台运营方统一维护，新增细类需经专家委员会确认后更新。</w:t>
      </w:r>
    </w:p>
    <w:p w14:paraId="616C6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1" w:name="heading_11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第十条 第四段：企业码（第5-8位）</w:t>
      </w:r>
      <w:bookmarkEnd w:id="11"/>
    </w:p>
    <w:p w14:paraId="4616A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企业码为平台内生产企业的唯一编号，采用4位字母数字混合编码，共32⁴=1,048,576种组合，可支持超百万家企业入驻。</w:t>
      </w:r>
    </w:p>
    <w:p w14:paraId="55CB7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赋码规则：</w:t>
      </w:r>
    </w:p>
    <w:p w14:paraId="18C7D72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按企业入驻平台的先后顺序依次分配，采用顺序赋号规则，从0001开始依次递增；</w:t>
      </w:r>
    </w:p>
    <w:p w14:paraId="0F0175E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数字位优先使用，数字用完后自动进位启用字母位（如9999的下一个编码为A001）；</w:t>
      </w:r>
    </w:p>
    <w:p w14:paraId="4450669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同一企业持有多个生产资质的，合并为同一企业码；</w:t>
      </w:r>
    </w:p>
    <w:p w14:paraId="78C09AD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企业名称变更不改变企业码；企业注销后企业码作废，永久封存不复用。</w:t>
      </w:r>
    </w:p>
    <w:p w14:paraId="26068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2" w:name="heading_12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第十一条 第五段：产品序号（第9-13位）</w:t>
      </w:r>
      <w:bookmarkEnd w:id="12"/>
    </w:p>
    <w:p w14:paraId="70727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产品序号为同一企业、同一细类下的产品流水号，采用5位纯数字编码，范围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00001~99999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，每个企业在每个细分类目下可支持99999个产品品规（00000为保留号）。</w:t>
      </w:r>
    </w:p>
    <w:p w14:paraId="2D583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赋码规则：</w:t>
      </w:r>
    </w:p>
    <w:p w14:paraId="3130CED5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按产品通过评审的先后顺序依次赋号，从00001开始递增；</w:t>
      </w:r>
    </w:p>
    <w:p w14:paraId="4D06B2C3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不同细类下产品序号独立编号，互不影响；</w:t>
      </w:r>
    </w:p>
    <w:p w14:paraId="2B08CD5D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产品注销后序号作废，永久封存不复用，确保历史可追溯；</w:t>
      </w:r>
    </w:p>
    <w:p w14:paraId="79FBF70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00000为保留号，不用于实际产品赋码。</w:t>
      </w:r>
    </w:p>
    <w:p w14:paraId="58E8F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3" w:name="heading_13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第十二条 第六段：规格剂型码（第14-15位）</w:t>
      </w:r>
      <w:bookmarkEnd w:id="13"/>
    </w:p>
    <w:p w14:paraId="3F0F5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规格剂型码标识产品的剂型与包装规格特征，采用2位数字编码，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第14位标识剂型，第15位标识包装规格量级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tbl>
      <w:tblPr>
        <w:tblStyle w:val="3"/>
        <w:tblW w:w="9627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91"/>
        <w:gridCol w:w="1929"/>
        <w:gridCol w:w="2042"/>
        <w:gridCol w:w="3565"/>
      </w:tblGrid>
      <w:tr w14:paraId="6664988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9B9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剂型位</w:t>
            </w:r>
          </w:p>
          <w:p w14:paraId="71816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（第14位）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B88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剂型类型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A0F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规格位</w:t>
            </w:r>
          </w:p>
          <w:p w14:paraId="3B27F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（第1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位）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B9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包装规格量级</w:t>
            </w:r>
          </w:p>
        </w:tc>
      </w:tr>
      <w:tr w14:paraId="2BA4AB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80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C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粉剂/冲调型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62B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3EE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单份装（≤50g或≤50ml）</w:t>
            </w:r>
          </w:p>
        </w:tc>
      </w:tr>
      <w:tr w14:paraId="42AAE7E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545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F57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液体/即饮型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7D5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EB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小包装（＞50g/ml且≤200g/ml）</w:t>
            </w:r>
          </w:p>
        </w:tc>
      </w:tr>
      <w:tr w14:paraId="659EC43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181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23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片剂/胶囊型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158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A14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中包装（＞200g/ml且≤500g/ml）</w:t>
            </w:r>
          </w:p>
        </w:tc>
      </w:tr>
      <w:tr w14:paraId="2D489E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6B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A9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半固体/糊状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815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637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大包装（＞500g/ml）</w:t>
            </w:r>
          </w:p>
        </w:tc>
      </w:tr>
      <w:tr w14:paraId="5B0420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6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1D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颗粒剂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D11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8C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多盒装/组合装</w:t>
            </w:r>
          </w:p>
        </w:tc>
      </w:tr>
      <w:tr w14:paraId="17DF5C0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F9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65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凝胶型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B6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EF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特殊规格（按需定制）</w:t>
            </w:r>
          </w:p>
        </w:tc>
      </w:tr>
      <w:tr w14:paraId="2741E8E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AE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9</w:t>
            </w:r>
          </w:p>
        </w:tc>
        <w:tc>
          <w:tcPr>
            <w:tcW w:w="19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3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其他剂型</w:t>
            </w:r>
          </w:p>
        </w:tc>
        <w:tc>
          <w:tcPr>
            <w:tcW w:w="20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C2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9</w:t>
            </w:r>
          </w:p>
        </w:tc>
        <w:tc>
          <w:tcPr>
            <w:tcW w:w="35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76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120" w:line="568" w:lineRule="exact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其他规格</w:t>
            </w:r>
          </w:p>
        </w:tc>
      </w:tr>
    </w:tbl>
    <w:p w14:paraId="32667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说明：剂型位与规格位为独立编码，可任意组合，共7×7=49种组合。示例：编码第14-15位为"22"，表示液体剂型、小包装规格（＞50ml且≤200ml）。</w:t>
      </w:r>
    </w:p>
    <w:p w14:paraId="7B56F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4" w:name="heading_14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第十三条 第七段：校验码（第16位）</w:t>
      </w:r>
      <w:bookmarkEnd w:id="14"/>
    </w:p>
    <w:p w14:paraId="68CB3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校验码采用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改进Luhn算法（模32算法）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生成，基于前15位字符计算得出，用于验证编码录入的正确性，防止人工录入错误。</w:t>
      </w:r>
    </w:p>
    <w:p w14:paraId="0FD3B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计算规则：</w:t>
      </w:r>
    </w:p>
    <w:p w14:paraId="284BDA8F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将前15位字符按字符集映射表转换为0~31的数值（0=0, 1=1, ..., 9=9, A=10, B=11, ..., Z=31，排除I/L/O/Q）；</w:t>
      </w:r>
    </w:p>
    <w:p w14:paraId="2AFBE739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从右向左（即从第15位向第1位），偶数位数值乘以2；</w:t>
      </w:r>
    </w:p>
    <w:p w14:paraId="08F05189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若乘积大于等于32，则减去32后再加1（即模32取余后加商）；</w:t>
      </w:r>
    </w:p>
    <w:p w14:paraId="023109C7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将所有位的数值相加得到总和S；</w:t>
      </w:r>
    </w:p>
    <w:p w14:paraId="63AEC98C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校验码 = (32 - S mod 32) mod 32，再反向映射为对应字符；</w:t>
      </w:r>
    </w:p>
    <w:p w14:paraId="2115AF1E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校验码使用32字符集完整字符集（数字+大写字母）输出，与编码整体字符规则保持一致，确保校验强度。</w:t>
      </w:r>
    </w:p>
    <w:p w14:paraId="458BE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校验码由系统自动计算生成，企业无需自行填报。</w:t>
      </w:r>
    </w:p>
    <w:p w14:paraId="15632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sz w:val="32"/>
          <w:szCs w:val="32"/>
        </w:rPr>
      </w:pPr>
      <w:bookmarkStart w:id="15" w:name="heading_15"/>
    </w:p>
    <w:p w14:paraId="7EF20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</w:rPr>
        <w:t>第三章 编码申领与赋码流程</w:t>
      </w:r>
      <w:bookmarkEnd w:id="15"/>
    </w:p>
    <w:p w14:paraId="7D8D3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6" w:name="heading_16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第十四条 编码申领条件</w:t>
      </w:r>
      <w:bookmarkEnd w:id="16"/>
    </w:p>
    <w:p w14:paraId="5D85B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申报产品通过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技术评审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（特医食品通过资质审核），经3个工作日公示无异议后，方可申领统一编码。未通过评审或公示期有异议待复核的产品，不予赋码。</w:t>
      </w:r>
    </w:p>
    <w:p w14:paraId="55F5E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7" w:name="heading_17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第十五条 赋码流程</w:t>
      </w:r>
      <w:bookmarkEnd w:id="17"/>
    </w:p>
    <w:p w14:paraId="1FE37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（一）系统自动匹配分类码。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根据企业申报的产品分类信息，系统自动匹配大类码、亚类码、细类码，由审核人员复核确认。</w:t>
      </w:r>
    </w:p>
    <w:p w14:paraId="0FA2E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（二）分配企业码。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已入驻企业沿用原有企业码；新入驻企业按顺序赋号规则分配新企业码。</w:t>
      </w:r>
    </w:p>
    <w:p w14:paraId="707DE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（三）生成产品序号。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同一企业同一细类下，按申报通过顺序分配5位产品流水号。</w:t>
      </w:r>
    </w:p>
    <w:p w14:paraId="73A4A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（四）匹配规格剂型码。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根据产品剂型与包装规格匹配对应两位编码。</w:t>
      </w:r>
    </w:p>
    <w:p w14:paraId="1EFE8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（五）计算校验码。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系统自动按改进Luhn算法计算第16位校验码，生成完整16位编码。</w:t>
      </w:r>
    </w:p>
    <w:p w14:paraId="505B1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（六）编码发布。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编码与产品信息同步在平台挂网目录中公示，正式生效。</w:t>
      </w:r>
    </w:p>
    <w:p w14:paraId="1F424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8" w:name="heading_18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第十六条 编码生效时间</w:t>
      </w:r>
      <w:bookmarkEnd w:id="18"/>
    </w:p>
    <w:p w14:paraId="3E811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编码自产品正式挂网之日起生效，贯穿产品整个挂网生命周期。产品下架后编码同步失效，但保留历史记录，支持追溯查询。</w:t>
      </w:r>
    </w:p>
    <w:p w14:paraId="3FA00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3773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9" w:name="heading_19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第四章 编码使用范围与场景</w:t>
      </w:r>
      <w:bookmarkEnd w:id="19"/>
    </w:p>
    <w:p w14:paraId="1D23A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0" w:name="heading_20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第十七条 挂网审核与身份确认</w:t>
      </w:r>
      <w:bookmarkEnd w:id="20"/>
    </w:p>
    <w:p w14:paraId="3C7CC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编码作为产品通过省平台审核挂网的身份凭证，是产品进入平台交易体系的唯一标识。所有挂网产品目录均以编码为索引，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技术评审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记录、资质文件、公示信息均与编码绑定。</w:t>
      </w:r>
    </w:p>
    <w:p w14:paraId="6B9F6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医疗机构可通过编码查询产品的评审状态、资质信息、挂网价格，确认产品为省平台正式挂网产品，杜绝非平台产品假借平台名义流入。</w:t>
      </w:r>
    </w:p>
    <w:p w14:paraId="26DF7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1" w:name="heading_21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第十八条 采购与流通管理</w:t>
      </w:r>
      <w:bookmarkEnd w:id="21"/>
    </w:p>
    <w:p w14:paraId="6A577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（一）采购订单。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平台内所有采购订单均以编码为产品标识，实现订单与产品一一对应，便于订单跟踪与对账结算。</w:t>
      </w:r>
    </w:p>
    <w:p w14:paraId="3DCE9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（二）入库验收。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医疗机构收货验收时，可通过编码核验产品是否为省平台挂网品规，确保采购渠道合规，防止非平台产品混入院内流通渠道。</w:t>
      </w:r>
    </w:p>
    <w:p w14:paraId="47EB0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sz w:val="32"/>
          <w:szCs w:val="32"/>
        </w:rPr>
        <w:t>（三）院内流转。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鼓励医疗机构将省平台编码与院内物资管理系统（SPD/ERP）对接，实现产品从入库到科室领用的全流程数字化管理。</w:t>
      </w:r>
    </w:p>
    <w:p w14:paraId="0D234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2" w:name="heading_22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第十九条 零售收费与结算</w:t>
      </w:r>
      <w:bookmarkEnd w:id="22"/>
    </w:p>
    <w:p w14:paraId="793E9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零售增值服务系统以编码作为收费结算的产品标识，患者扫码下单、银联分账、医院服务费核算均基于统一编码进行。编码与产品价格绑定，确保收费标准统一、透明、可追溯。</w:t>
      </w:r>
    </w:p>
    <w:p w14:paraId="1B132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通过编码可区分省平台挂网产品与院内其他产品，实现账目清晰，避免与医保收费、住院费用等混淆，保障物价合规。</w:t>
      </w:r>
    </w:p>
    <w:p w14:paraId="46D70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3" w:name="heading_23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第二十条 数据统计与监管</w:t>
      </w:r>
      <w:bookmarkEnd w:id="23"/>
    </w:p>
    <w:p w14:paraId="26695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统一编码为全省医学营养食品采购数据统计、行业分析、监管监测提供统一数据口径。基于编码可实现：</w:t>
      </w:r>
    </w:p>
    <w:p w14:paraId="05CD7291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分类别、分地区、分医疗机构的采购量统计分析；</w:t>
      </w:r>
    </w:p>
    <w:p w14:paraId="2DD2327E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产品使用趋势、疾病人群营养干预效果的数据积累；</w:t>
      </w:r>
    </w:p>
    <w:p w14:paraId="34446554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价格监测与异常交易预警；</w:t>
      </w:r>
    </w:p>
    <w:p w14:paraId="39F44E4A">
      <w:pPr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不良事件追溯与产品召回定位。</w:t>
      </w:r>
    </w:p>
    <w:p w14:paraId="48CD1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bookmarkStart w:id="24" w:name="heading_24"/>
    </w:p>
    <w:p w14:paraId="74A90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第五章 数据追踪与防伪机制</w:t>
      </w:r>
      <w:bookmarkEnd w:id="24"/>
    </w:p>
    <w:p w14:paraId="5348E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5" w:name="heading_25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第二十一条 全链路数据绑定</w:t>
      </w:r>
      <w:bookmarkEnd w:id="25"/>
    </w:p>
    <w:p w14:paraId="7C998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编码与以下数据全程绑定，形成完整的数据链路：</w:t>
      </w:r>
    </w:p>
    <w:p w14:paraId="43098562">
      <w:pPr>
        <w:keepNext w:val="0"/>
        <w:keepLines w:val="0"/>
        <w:pageBreakBefore w:val="0"/>
        <w:widowControl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准入数据：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企业资质、产品注册/备案信息、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技术评审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记录、公示信息；</w:t>
      </w:r>
    </w:p>
    <w:p w14:paraId="2E55DA22">
      <w:pPr>
        <w:keepNext w:val="0"/>
        <w:keepLines w:val="0"/>
        <w:pageBreakBefore w:val="0"/>
        <w:widowControl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交易数据：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挂网价格、议价记录、采购订单、配送信息；</w:t>
      </w:r>
    </w:p>
    <w:p w14:paraId="4D7FEDED">
      <w:pPr>
        <w:keepNext w:val="0"/>
        <w:keepLines w:val="0"/>
        <w:pageBreakBefore w:val="0"/>
        <w:widowControl w:val="0"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零售数据：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终端销售记录、分账明细、患者使用信息（脱敏）；</w:t>
      </w:r>
    </w:p>
    <w:p w14:paraId="1ED3B15F">
      <w:pPr>
        <w:keepNext w:val="0"/>
        <w:keepLines w:val="0"/>
        <w:pageBreakBefore w:val="0"/>
        <w:widowControl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监管数据：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不良事件报告、抽检结果、企业信用记录。</w:t>
      </w:r>
    </w:p>
    <w:p w14:paraId="4A09D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6" w:name="heading_26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第二十二条 平台外产品甄别机制</w:t>
      </w:r>
      <w:bookmarkEnd w:id="26"/>
    </w:p>
    <w:p w14:paraId="31613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通过编码核验机制可有效区分省平台产品与非平台产品：</w:t>
      </w:r>
    </w:p>
    <w:p w14:paraId="756EE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（一）编码库校验。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所有合法编码均收录于省平台编码库，医疗机构可通过平台接口实时查询编码有效性。不在编码库内的编码即为非平台产品。</w:t>
      </w:r>
    </w:p>
    <w:p w14:paraId="65B13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（二）采购链路追溯。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每笔带编码的产品均有对应的平台采购订单记录，可追溯至供货企业、采购批次、配送单号。无对应平台采购订单的产品，不属于省平台流通产品。</w:t>
      </w:r>
    </w:p>
    <w:p w14:paraId="7DEA5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（三）零售端验证。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零售增值服务系统仅支持编码库内产品上架结算，非平台产品无法进入零售系统，从渠道上保障患者购买的均为省平台审核挂网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产品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2DC6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7" w:name="heading_27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第二十三条 编码防伪措施</w:t>
      </w:r>
      <w:bookmarkEnd w:id="27"/>
    </w:p>
    <w:p w14:paraId="0F67CF14">
      <w:pPr>
        <w:keepNext w:val="0"/>
        <w:keepLines w:val="0"/>
        <w:pageBreakBefore w:val="0"/>
        <w:widowControl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编码含校验位，随意编造的编码无法通过校验；</w:t>
      </w:r>
    </w:p>
    <w:p w14:paraId="599D2F60">
      <w:pPr>
        <w:keepNext w:val="0"/>
        <w:keepLines w:val="0"/>
        <w:pageBreakBefore w:val="0"/>
        <w:widowControl w:val="0"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编码信息需与平台数据库匹配方可生效，不存在"自编码"空间；</w:t>
      </w:r>
    </w:p>
    <w:p w14:paraId="0093F7AC">
      <w:pPr>
        <w:keepNext w:val="0"/>
        <w:keepLines w:val="0"/>
        <w:pageBreakBefore w:val="0"/>
        <w:widowControl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定期开展医疗机构流通产品编码抽检，排查冒用编码、非平台产品混入等情况；</w:t>
      </w:r>
    </w:p>
    <w:p w14:paraId="14A602C4">
      <w:pPr>
        <w:keepNext w:val="0"/>
        <w:keepLines w:val="0"/>
        <w:pageBreakBefore w:val="0"/>
        <w:widowControl w:val="0"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建立编码异常举报机制，发现违规使用编码的企业或机构按规则严肃处理。</w:t>
      </w:r>
    </w:p>
    <w:p w14:paraId="4ED9F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bookmarkStart w:id="28" w:name="heading_28"/>
    </w:p>
    <w:p w14:paraId="3DC6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第六章 编码变更与管理</w:t>
      </w:r>
      <w:bookmarkEnd w:id="28"/>
    </w:p>
    <w:p w14:paraId="02943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9" w:name="heading_29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第二十四条 编码变更情形</w:t>
      </w:r>
      <w:bookmarkEnd w:id="29"/>
    </w:p>
    <w:p w14:paraId="312DF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出现以下情形时，需变更或重新赋码：</w:t>
      </w:r>
    </w:p>
    <w:p w14:paraId="0475B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（一）产品配方变更。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产品核心配方、营养成分发生实质性变化，影响产品分类归属的，需重新申报评审并赋新码。原编码同步注销，保留历史映射关系。</w:t>
      </w:r>
    </w:p>
    <w:p w14:paraId="292C8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（二）规格包装变更。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产品剂型、规格、包装发生变化的，规格剂型码相应调整，生成新编码，原编码保留历史记录。</w:t>
      </w:r>
    </w:p>
    <w:p w14:paraId="22BA1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（三）分类调整。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因国家标准更新或分类规则调整导致产品分类变化的，分类码段相应调整，由平台统一批量更新编码映射关系。</w:t>
      </w:r>
    </w:p>
    <w:p w14:paraId="24E3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（四）企业主体变更。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生产企业发生兼并、重组、转让等导致生产主体变化的，按新企业重新赋码，原企业码下产品编码同步注销并建立新旧编码映射表。</w:t>
      </w:r>
    </w:p>
    <w:p w14:paraId="7E93A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0" w:name="heading_30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第二十五条 编码冲突处理机制</w:t>
      </w:r>
      <w:bookmarkEnd w:id="30"/>
    </w:p>
    <w:p w14:paraId="184EB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因分类调整、企业合并、产品划转等情形可能引发编码冲突时，按以下原则处理：</w:t>
      </w:r>
    </w:p>
    <w:p w14:paraId="45031EE4">
      <w:pPr>
        <w:keepNext w:val="0"/>
        <w:keepLines w:val="0"/>
        <w:pageBreakBefore w:val="0"/>
        <w:widowControl w:val="0"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历史优先原则：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先赋码的产品保留原编码，后赋码的冲突产品重新赋码；</w:t>
      </w:r>
    </w:p>
    <w:p w14:paraId="7B807A83">
      <w:pPr>
        <w:keepNext w:val="0"/>
        <w:keepLines w:val="0"/>
        <w:pageBreakBefore w:val="0"/>
        <w:widowControl w:val="0"/>
        <w:numPr>
          <w:ilvl w:val="0"/>
          <w:numId w:val="3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映射过渡原则：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编码变更时同步建立新旧编码映射表，过渡期内支持双码查询，确保历史数据可追溯；</w:t>
      </w:r>
    </w:p>
    <w:p w14:paraId="744433CA">
      <w:pPr>
        <w:keepNext w:val="0"/>
        <w:keepLines w:val="0"/>
        <w:pageBreakBefore w:val="0"/>
        <w:widowControl w:val="0"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批量公告原则：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涉及批量编码调整的，提前15个工作日在平台公示，告知各医疗机构及企业做好系统对接调整。</w:t>
      </w:r>
    </w:p>
    <w:p w14:paraId="619DF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1" w:name="heading_31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第二十六条 编码注销</w:t>
      </w:r>
      <w:bookmarkEnd w:id="31"/>
    </w:p>
    <w:p w14:paraId="0C2FC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产品下架、企业注销、资质失效等情形下，对应编码同步注销。注销后的编码不再用于新交易，但历史交易数据保留，支持追溯查询。</w:t>
      </w:r>
    </w:p>
    <w:p w14:paraId="66FF6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编码一经注销不得复用，永久封存，确保编码历史唯一、可追溯。</w:t>
      </w:r>
    </w:p>
    <w:p w14:paraId="61BB8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2" w:name="heading_32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第二十七条 编码维护主体</w:t>
      </w:r>
      <w:bookmarkEnd w:id="32"/>
    </w:p>
    <w:p w14:paraId="53A56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东省药品交易中心为编码管理主体，负责编码规则制定、编码库维护、编码变更审核等工作；广州又材营养食品有限公司作为运营单位承担编码日常运维、数据录入、技术支持等具体事务；广东省营养学会负责分类编码的专业审核。</w:t>
      </w:r>
    </w:p>
    <w:p w14:paraId="43818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125A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33" w:name="heading_33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第七章 存量产品过渡期安排</w:t>
      </w:r>
      <w:bookmarkEnd w:id="33"/>
    </w:p>
    <w:p w14:paraId="779F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4" w:name="heading_34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第二十八条 存量产品补码范围</w:t>
      </w:r>
      <w:bookmarkEnd w:id="34"/>
    </w:p>
    <w:p w14:paraId="7A41B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本规则发布前已在平台挂网的存量产品，需在过渡期内完成统一编码补录。过渡期至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2026年12月31日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止。</w:t>
      </w:r>
    </w:p>
    <w:p w14:paraId="4456F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5" w:name="heading_35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第二十九条 补码工作流程</w:t>
      </w:r>
      <w:bookmarkEnd w:id="35"/>
    </w:p>
    <w:p w14:paraId="2D917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运营单位分批通知存量产品企业，按新分类规则重新确认产品分类，补充完善规格信息，由系统批量生成统一编码。企业对分类信息有异议的，可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向平台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申请专家复核。</w:t>
      </w:r>
    </w:p>
    <w:p w14:paraId="16C23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6" w:name="heading_36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第三十条 过渡期结束安排</w:t>
      </w:r>
      <w:bookmarkEnd w:id="36"/>
    </w:p>
    <w:p w14:paraId="3247A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过渡期结束后，未完成编码补录的存量产品作下架处理，不得继续参与平台采购交易。新申报产品全部按本规则赋码后挂网。</w:t>
      </w:r>
    </w:p>
    <w:p w14:paraId="357D6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bookmarkStart w:id="37" w:name="heading_37"/>
    </w:p>
    <w:p w14:paraId="23A6D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40" w:line="568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第八章 附则</w:t>
      </w:r>
      <w:bookmarkEnd w:id="37"/>
    </w:p>
    <w:p w14:paraId="0C0C2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8" w:name="heading_38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第三十一条 规则更新</w:t>
      </w:r>
      <w:bookmarkEnd w:id="38"/>
    </w:p>
    <w:p w14:paraId="06515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本规则根据国家政策调整、行业标准更新及平台运行实际情况适时修订。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重大修订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经专家论证并公示后发布。</w:t>
      </w:r>
    </w:p>
    <w:p w14:paraId="01121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9" w:name="heading_39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第三十二条 解释权</w:t>
      </w:r>
      <w:bookmarkEnd w:id="39"/>
    </w:p>
    <w:p w14:paraId="7276E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本规则由广东省药品交易中心负责解释。</w:t>
      </w:r>
    </w:p>
    <w:p w14:paraId="392A9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3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0" w:name="heading_40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第三十三条 施行日期</w:t>
      </w:r>
      <w:bookmarkEnd w:id="40"/>
    </w:p>
    <w:p w14:paraId="1D068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line="568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本规则自发布之日起施行。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E45BAA-E12B-4917-A94D-CC211A343F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79F89CE-6EDD-4E7E-89DA-819A56CB23C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D91F690-84CD-4E30-AAFD-C6AACBBFB0E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9733A89-C03F-4BED-AADB-A81D5487EB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1F62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6AA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C8AC8EF"/>
    <w:multiLevelType w:val="singleLevel"/>
    <w:tmpl w:val="9C8AC8EF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5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D7F9FE59"/>
    <w:multiLevelType w:val="singleLevel"/>
    <w:tmpl w:val="D7F9FE5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2">
    <w:nsid w:val="DCBA6B53"/>
    <w:multiLevelType w:val="singleLevel"/>
    <w:tmpl w:val="DCBA6B53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3">
    <w:nsid w:val="F4B5D9F5"/>
    <w:multiLevelType w:val="singleLevel"/>
    <w:tmpl w:val="F4B5D9F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4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2470EC97"/>
    <w:multiLevelType w:val="singleLevel"/>
    <w:tmpl w:val="2470EC9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9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4">
    <w:nsid w:val="4D4DC07F"/>
    <w:multiLevelType w:val="singleLevel"/>
    <w:tmpl w:val="4D4DC07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5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7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7DEC2089"/>
    <w:multiLevelType w:val="singleLevel"/>
    <w:tmpl w:val="7DEC208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4"/>
  </w:num>
  <w:num w:numId="2">
    <w:abstractNumId w:val="10"/>
  </w:num>
  <w:num w:numId="3">
    <w:abstractNumId w:val="26"/>
  </w:num>
  <w:num w:numId="4">
    <w:abstractNumId w:val="8"/>
  </w:num>
  <w:num w:numId="5">
    <w:abstractNumId w:val="6"/>
  </w:num>
  <w:num w:numId="6">
    <w:abstractNumId w:val="16"/>
  </w:num>
  <w:num w:numId="7">
    <w:abstractNumId w:val="19"/>
  </w:num>
  <w:num w:numId="8">
    <w:abstractNumId w:val="30"/>
  </w:num>
  <w:num w:numId="9">
    <w:abstractNumId w:val="15"/>
  </w:num>
  <w:num w:numId="10">
    <w:abstractNumId w:val="2"/>
  </w:num>
  <w:num w:numId="11">
    <w:abstractNumId w:val="20"/>
  </w:num>
  <w:num w:numId="12">
    <w:abstractNumId w:val="27"/>
  </w:num>
  <w:num w:numId="13">
    <w:abstractNumId w:val="9"/>
  </w:num>
  <w:num w:numId="14">
    <w:abstractNumId w:val="24"/>
  </w:num>
  <w:num w:numId="15">
    <w:abstractNumId w:val="13"/>
  </w:num>
  <w:num w:numId="16">
    <w:abstractNumId w:val="18"/>
  </w:num>
  <w:num w:numId="17">
    <w:abstractNumId w:val="12"/>
  </w:num>
  <w:num w:numId="18">
    <w:abstractNumId w:val="11"/>
  </w:num>
  <w:num w:numId="19">
    <w:abstractNumId w:val="4"/>
  </w:num>
  <w:num w:numId="20">
    <w:abstractNumId w:val="23"/>
  </w:num>
  <w:num w:numId="21">
    <w:abstractNumId w:val="28"/>
  </w:num>
  <w:num w:numId="22">
    <w:abstractNumId w:val="17"/>
  </w:num>
  <w:num w:numId="23">
    <w:abstractNumId w:val="22"/>
  </w:num>
  <w:num w:numId="24">
    <w:abstractNumId w:val="5"/>
  </w:num>
  <w:num w:numId="25">
    <w:abstractNumId w:val="32"/>
  </w:num>
  <w:num w:numId="26">
    <w:abstractNumId w:val="31"/>
  </w:num>
  <w:num w:numId="27">
    <w:abstractNumId w:val="7"/>
  </w:num>
  <w:num w:numId="28">
    <w:abstractNumId w:val="29"/>
  </w:num>
  <w:num w:numId="29">
    <w:abstractNumId w:val="3"/>
  </w:num>
  <w:num w:numId="30">
    <w:abstractNumId w:val="21"/>
  </w:num>
  <w:num w:numId="31">
    <w:abstractNumId w:val="1"/>
  </w:num>
  <w:num w:numId="32">
    <w:abstractNumId w:val="25"/>
  </w:num>
  <w:num w:numId="33">
    <w:abstractNumId w:val="3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TrueTypeFonts/>
  <w:saveSubsetFonts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mUyNTUxODhiOWFkYzkxZjcxZjhlZDEzZWE0YjAifQ=="/>
  </w:docVars>
  <w:rsids>
    <w:rsidRoot w:val="00000000"/>
    <w:rsid w:val="3A3556CD"/>
    <w:rsid w:val="726D21FA"/>
    <w:rsid w:val="791C56C0"/>
    <w:rsid w:val="7D88691E"/>
    <w:rsid w:val="7FF75B79"/>
    <w:rsid w:val="EEC7B6DC"/>
    <w:rsid w:val="FCDAD2F1"/>
    <w:rsid w:val="FDDECAD8"/>
    <w:rsid w:val="FFFB6A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5522</Words>
  <Characters>5897</Characters>
  <TotalTime>32</TotalTime>
  <ScaleCrop>false</ScaleCrop>
  <LinksUpToDate>false</LinksUpToDate>
  <CharactersWithSpaces>5965</CharactersWithSpaces>
  <Application>WPS Office_12.1.0.17150_F1E327BC-269C-435d-A152-05C5408002CA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2026-07-16T14:52:00Z</dcterms:created>
  <dc:creator>Apache POI</dc:creator>
  <cp:lastModifiedBy>丘志祁</cp:lastModifiedBy>
  <dcterms:modified xsi:type="dcterms:W3CDTF">2026-08-10T03:44:10Z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{"Label":"1","ContentProducer":"001191110102MACQD9K64010000","ProduceID":"7662643948205411316","ReservedCode1":"","ContentPropagator":"","PropagateID":"","ReservedCode2":""}</vt:lpwstr>
  </property>
  <property fmtid="{D5CDD505-2E9C-101B-9397-08002B2CF9AE}" pid="3" name="KSOTemplateDocerSaveRecord">
    <vt:lpwstr>eyJoZGlkIjoiOWZkMjIyZTUyYmRlMjg2Y2YxMGQxOTllNzU1NWUwM2QiLCJ1c2VySWQiOiIzMzkzNTIzMDMifQ==</vt:lpwstr>
  </property>
  <property fmtid="{D5CDD505-2E9C-101B-9397-08002B2CF9AE}" pid="4" name="KSOProductBuildVer">
    <vt:lpwstr>2052-12.1.0.17150</vt:lpwstr>
  </property>
  <property fmtid="{D5CDD505-2E9C-101B-9397-08002B2CF9AE}" pid="5" name="ICV">
    <vt:lpwstr>5605A26360A44E796339776AEEE03B12_43</vt:lpwstr>
  </property>
</Properties>
</file>