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8E00B3">
      <w:pPr>
        <w:pStyle w:val="5"/>
        <w:widowControl/>
        <w:shd w:val="clear" w:color="auto" w:fill="FFFFFF"/>
        <w:jc w:val="left"/>
        <w:rPr>
          <w:rFonts w:hint="eastAsia" w:ascii="Times New Roman" w:hAnsi="Times New Roman" w:eastAsia="黑体" w:cs="Times New Roman"/>
          <w:sz w:val="36"/>
          <w:szCs w:val="36"/>
        </w:rPr>
      </w:pPr>
      <w:bookmarkStart w:id="0" w:name="_GoBack"/>
      <mc:AlternateContent>
        <mc:Choice Requires="wpsCustomData">
          <wpsCustomData:docfieldStart id="0" docfieldname="附件_2" hidden="0" print="1" readonly="0" index="2"/>
        </mc:Choice>
      </mc:AlternateContent>
      <w:r>
        <w:rPr>
          <w:rFonts w:hint="eastAsia" w:ascii="Times New Roman" w:hAnsi="Times New Roman" w:eastAsia="黑体" w:cs="Times New Roman"/>
          <w:sz w:val="36"/>
          <w:szCs w:val="36"/>
        </w:rPr>
        <w:t>附件2</w:t>
      </w:r>
    </w:p>
    <w:p w14:paraId="280F29FA">
      <w:pPr>
        <w:pStyle w:val="5"/>
        <w:widowControl/>
        <w:shd w:val="clear" w:color="auto" w:fill="FFFFFF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药品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批发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自营仓库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设施</w:t>
      </w:r>
    </w:p>
    <w:p w14:paraId="053B6D03">
      <w:pPr>
        <w:pStyle w:val="5"/>
        <w:widowControl/>
        <w:shd w:val="clear" w:color="auto" w:fill="FFFFFF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设备配备表（3000平方米）</w:t>
      </w:r>
      <mc:AlternateContent>
        <mc:Choice Requires="wpsCustomData">
          <wpsCustomData:docfieldEnd id="0"/>
        </mc:Choice>
      </mc:AlternateContent>
    </w:p>
    <w:bookmarkEnd w:id="0"/>
    <w:tbl>
      <w:tblPr>
        <w:tblStyle w:val="3"/>
        <w:tblW w:w="500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0"/>
        <w:gridCol w:w="2502"/>
        <w:gridCol w:w="779"/>
        <w:gridCol w:w="779"/>
        <w:gridCol w:w="4271"/>
      </w:tblGrid>
      <w:tr w14:paraId="71D6A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  <w:tblHeader/>
        </w:trPr>
        <w:tc>
          <w:tcPr>
            <w:tcW w:w="42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DC14A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分</w:t>
            </w:r>
          </w:p>
          <w:p w14:paraId="0C01C7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类</w:t>
            </w: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0B751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>设施设备名称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6960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>必配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7E6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>选配</w:t>
            </w: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B62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0"/>
                <w:sz w:val="23"/>
                <w:szCs w:val="23"/>
                <w:lang w:val="en-US" w:eastAsia="zh-CN"/>
                <w14:ligatures w14:val="none"/>
              </w:rPr>
              <w:t>备注</w:t>
            </w:r>
          </w:p>
        </w:tc>
      </w:tr>
      <w:tr w14:paraId="3A4DC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EE18AB7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库</w:t>
            </w:r>
          </w:p>
          <w:p w14:paraId="3BC2BE88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房</w:t>
            </w:r>
          </w:p>
          <w:p w14:paraId="629331D4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设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  </w:t>
            </w:r>
          </w:p>
          <w:p w14:paraId="5F24C496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施</w:t>
            </w:r>
          </w:p>
          <w:p w14:paraId="6DC7A405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设</w:t>
            </w:r>
          </w:p>
          <w:p w14:paraId="5A8EF8E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备</w:t>
            </w: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0B7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1. 自动化立体仓库（AS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eastAsia="zh-CN"/>
                <w14:ligatures w14:val="none"/>
              </w:rPr>
              <w:t>／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RS）或高架仓库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1B48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74C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E298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面积不足时可按4米高度折算为1层计算仓库面积（第十条）</w:t>
            </w:r>
          </w:p>
        </w:tc>
      </w:tr>
      <w:tr w14:paraId="64910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8B5CF0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808B1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 xml:space="preserve">2.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自动巷道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堆垛机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1891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1C5BC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E698E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配备自动化立体仓库（AS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eastAsia="zh-CN"/>
                <w14:ligatures w14:val="none"/>
              </w:rPr>
              <w:t>／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RS）的必配，数量与经营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规模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相适应（第十一条）</w:t>
            </w:r>
          </w:p>
        </w:tc>
      </w:tr>
      <w:tr w14:paraId="3E8BE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449692C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94DA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3. 高位货架或重型组合式货架或隔板货架等其他货架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9FB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1E4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DA0E0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数量与经营规模相适应（第十一条）</w:t>
            </w:r>
          </w:p>
        </w:tc>
      </w:tr>
      <w:tr w14:paraId="60B9D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520F57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63A22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4. 标准托盘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5ACD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89D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51E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数量与经营规模相适应；实行货位管理，一位一码（第十一条）</w:t>
            </w:r>
          </w:p>
        </w:tc>
      </w:tr>
      <w:tr w14:paraId="70962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B3A5FD6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C89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5. 电子标签（DPS）或平板电脑等拣选设备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1B2E1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A016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42A3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数量与经营规模相适应（第十一条）</w:t>
            </w:r>
          </w:p>
        </w:tc>
      </w:tr>
      <w:tr w14:paraId="1E793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F997CC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1B04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 xml:space="preserve">6.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自动导向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搬运车、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辅助用电动叉车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等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5A6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28D1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FB2B8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数量与经营规模相适应（第十一条）</w:t>
            </w:r>
          </w:p>
        </w:tc>
      </w:tr>
      <w:tr w14:paraId="04247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A1C512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70A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7. 条码扫描设备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A897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B7ED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268D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用于入库、验收、分拣、复核等作业信息识别（第十一条）</w:t>
            </w:r>
          </w:p>
        </w:tc>
      </w:tr>
      <w:tr w14:paraId="43A57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E32A763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F7D5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8. 自动分拣设备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F8FF3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473E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CC7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除专库、专区（柜）储存的药品外，其余药品均应通过现代物流系统完成分拣、传送与出库（第十条）</w:t>
            </w:r>
          </w:p>
        </w:tc>
      </w:tr>
      <w:tr w14:paraId="5CE00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7B15D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01C5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9. 自动输送设备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63F5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3A20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54DD3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覆盖储存区、拣选作业区、出库复核区、集货配送区等区域（第十一条）</w:t>
            </w:r>
          </w:p>
        </w:tc>
      </w:tr>
      <w:tr w14:paraId="77B1A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B1A209F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9D53E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10. 冷库（冷藏冷冻库）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AA59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0EB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40A7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开展冷藏冷冻药品物流业务的必配；独立冷库总容积不少于20立方米；仅设单个冷库的，应具有两套独立制冷系统，一用一备，自行切换（第十条）</w:t>
            </w:r>
          </w:p>
        </w:tc>
      </w:tr>
      <w:tr w14:paraId="08FE0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F64FD3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FD03E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11. 温湿度调控设备（中央空调系统等）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E515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C279E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F80D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符合相关环境指标要求，可调控库房温湿度及进行库房室内外空气交换（第十一条）</w:t>
            </w:r>
          </w:p>
        </w:tc>
      </w:tr>
      <w:tr w14:paraId="1AC99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7480BF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131D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12. 视频监控设备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881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AFC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277C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对库区主要作业区全覆盖监控，实时备份，工作图像留存不少于30日，特殊管理的药品留存不少于90日（第十一条）</w:t>
            </w:r>
          </w:p>
        </w:tc>
      </w:tr>
      <w:tr w14:paraId="582E2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9BAF6F9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502A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13. 双回路供电系统或者备用发电机组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CE9F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F27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6783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备用发电机组功率应当至少能够保障药品仓储作业区域的应急照明，确保冷库设备、温湿度监控设备、计算机控制室（区）及服务器数据中心正常运行（第十一条）</w:t>
            </w:r>
          </w:p>
        </w:tc>
      </w:tr>
      <w:tr w14:paraId="08F37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59C7177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C9E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14. 计算机硬件系统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FF3C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EF6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E0C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配置与药品经营规模相适应（第十八条）</w:t>
            </w:r>
          </w:p>
        </w:tc>
      </w:tr>
      <w:tr w14:paraId="17C5A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A561661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164F1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15. 网络交换机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C0CC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2A3B8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2E8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配置与药品经营规模相适应的网络环境（第十八条）</w:t>
            </w:r>
          </w:p>
        </w:tc>
      </w:tr>
      <w:tr w14:paraId="0AAA8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E9B37D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CD70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16. 服务器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47293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F7FF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39CE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配置与药品经营规模相适应（第十八条）</w:t>
            </w:r>
          </w:p>
        </w:tc>
      </w:tr>
      <w:tr w14:paraId="19512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BBEC5E4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819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17. 无线射频技术（RFID）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C12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DE7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6E19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用于药品信息识别与追踪管理（第十一条）</w:t>
            </w:r>
          </w:p>
        </w:tc>
      </w:tr>
      <w:tr w14:paraId="58450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028FBBA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8371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eastAsia="zh-CN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18. 手持终端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eastAsia="zh-CN"/>
                <w14:ligatures w14:val="none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RF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eastAsia="zh-CN"/>
                <w14:ligatures w14:val="none"/>
              </w:rPr>
              <w:t>）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5C70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DC51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C78D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数量与药品经营规模相适应（第十一条）</w:t>
            </w:r>
          </w:p>
        </w:tc>
      </w:tr>
      <w:tr w14:paraId="4305A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96AD89E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Segoe UI" w:hAnsi="Segoe UI" w:eastAsia="宋体" w:cs="Segoe UI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  <w:t>运</w:t>
            </w:r>
          </w:p>
          <w:p w14:paraId="372F7FB6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Segoe UI" w:hAnsi="Segoe UI" w:eastAsia="宋体" w:cs="Segoe UI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  <w:t>输</w:t>
            </w:r>
          </w:p>
          <w:p w14:paraId="3BB2E467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Segoe UI" w:hAnsi="Segoe UI" w:eastAsia="宋体" w:cs="Segoe UI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  <w:t>设</w:t>
            </w:r>
          </w:p>
          <w:p w14:paraId="2D8E2E9E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Segoe UI" w:hAnsi="Segoe UI" w:eastAsia="宋体" w:cs="Segoe UI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  <w:t>施</w:t>
            </w:r>
          </w:p>
          <w:p w14:paraId="138AE337">
            <w:pPr>
              <w:widowControl/>
              <w:spacing w:after="0" w:line="375" w:lineRule="atLeast"/>
              <w:jc w:val="center"/>
              <w:rPr>
                <w:rFonts w:hint="eastAsia" w:ascii="Segoe UI" w:hAnsi="Segoe UI" w:eastAsia="宋体" w:cs="Segoe UI"/>
                <w:kern w:val="0"/>
                <w:sz w:val="23"/>
                <w:szCs w:val="23"/>
                <w:lang w:val="en-US" w:eastAsia="zh-CN"/>
                <w14:ligatures w14:val="none"/>
              </w:rPr>
            </w:pPr>
            <w:r>
              <w:rPr>
                <w:rFonts w:hint="eastAsia" w:ascii="Segoe UI" w:hAnsi="Segoe UI" w:eastAsia="宋体" w:cs="Segoe UI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  <w:t>设</w:t>
            </w:r>
            <w:r>
              <w:rPr>
                <w:rFonts w:hint="eastAsia" w:ascii="Segoe UI" w:hAnsi="Segoe UI" w:eastAsia="宋体" w:cs="Segoe UI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</w:p>
          <w:p w14:paraId="7AEDE572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Segoe UI" w:hAnsi="Segoe UI" w:eastAsia="宋体" w:cs="Segoe UI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  <w:t>备</w:t>
            </w: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9C91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1. 密闭式运输车辆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163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2DB2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4AB9B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数量与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药品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配送规模相适应（第十二条）</w:t>
            </w:r>
          </w:p>
        </w:tc>
      </w:tr>
      <w:tr w14:paraId="75116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B4D9CC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697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2. 冷藏车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3897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A7B6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A88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开展冷藏冷冻药品运输业务的必配；配备独立制冷制热电源、车载温度自动监测设备及远程数据传输系统（第十二条）</w:t>
            </w:r>
          </w:p>
        </w:tc>
      </w:tr>
      <w:tr w14:paraId="433C1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6FEA080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67C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3. 保温箱或车载冷藏箱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1EE6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D94D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E8C6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经营冷链药品的必配（第十二条）</w:t>
            </w:r>
          </w:p>
        </w:tc>
      </w:tr>
      <w:tr w14:paraId="6B7E4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49F0B2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85C7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4. 车载温度自动监测设备及远程数据传输系统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5C4E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66FA2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7C9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冷藏车配套必配（第十二条）</w:t>
            </w:r>
          </w:p>
        </w:tc>
      </w:tr>
      <w:tr w14:paraId="56739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C4F6AF2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707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5. 车辆卫星定位设备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1D9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C986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ECCE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对车辆运输状态进行实时监测（第十二条）</w:t>
            </w:r>
          </w:p>
        </w:tc>
      </w:tr>
      <w:tr w14:paraId="3FF3D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restar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3F86A6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信</w:t>
            </w:r>
          </w:p>
          <w:p w14:paraId="55C033D6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息</w:t>
            </w:r>
          </w:p>
          <w:p w14:paraId="2B822334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化</w:t>
            </w:r>
          </w:p>
          <w:p w14:paraId="3B01CE8B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管</w:t>
            </w:r>
          </w:p>
          <w:p w14:paraId="4E3856D7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理</w:t>
            </w:r>
          </w:p>
          <w:p w14:paraId="49B472C4">
            <w:pPr>
              <w:widowControl/>
              <w:spacing w:after="0" w:line="375" w:lineRule="atLeast"/>
              <w:jc w:val="center"/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系</w:t>
            </w:r>
          </w:p>
          <w:p w14:paraId="4D229D8D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:lang w:val="en-US" w:eastAsia="zh-CN"/>
                <w14:ligatures w14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3"/>
                <w:szCs w:val="23"/>
                <w14:ligatures w14:val="none"/>
              </w:rPr>
              <w:t>统</w:t>
            </w: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CDBB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1. 企业资源计划管理系统（ERP）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13F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B4FF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9C33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应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覆盖药品经营活动管理全过程（第十六条）</w:t>
            </w:r>
          </w:p>
        </w:tc>
      </w:tr>
      <w:tr w14:paraId="29B74C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AA6AD2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7B79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2. 仓储管理系统（WMS）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4C49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E994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9499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应与ERP、WCS、TMS数据实时、准确对接，具备全程货物查询和追踪功能（第十六条）</w:t>
            </w:r>
          </w:p>
        </w:tc>
      </w:tr>
      <w:tr w14:paraId="243D7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550B958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786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3. 设备控制系统（WCS）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7E25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B968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53D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实现仓储各作业环节自动、连续的物流传送，与仓储管理系统实时数据对接（第十六条）</w:t>
            </w:r>
          </w:p>
        </w:tc>
      </w:tr>
      <w:tr w14:paraId="086FFC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2299F3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17D9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4. 运输管理系统（TMS）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0E62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FB9C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9484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对运输计划、品种、数量、批号、工具、人员、发货时间、到货时间、在途运输轨迹、签收及冷链药品温度等进行跟踪、记录和调度（第十六条）</w:t>
            </w:r>
          </w:p>
        </w:tc>
      </w:tr>
      <w:tr w14:paraId="4043E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23C2B92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AA024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5. 全球定位系统（GPS）或北斗导航系统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FEF5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932F7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1DD11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对车辆运输状态进行实时监测（第十二条）</w:t>
            </w:r>
          </w:p>
        </w:tc>
      </w:tr>
      <w:tr w14:paraId="663B6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88460D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A67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6. 温湿度自动监测系统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958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21499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F384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对仓库温湿度及冷藏、冷冻药品运输温度开展实时监测、记录和异常报警（第十六条）</w:t>
            </w:r>
          </w:p>
        </w:tc>
      </w:tr>
      <w:tr w14:paraId="4594A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2CA0E0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A2B2B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7. 药品追溯系统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5583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760D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7A2B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实现药品各级包装单元的可关联追溯和可核查（第四条、第十六条）</w:t>
            </w:r>
          </w:p>
        </w:tc>
      </w:tr>
      <w:tr w14:paraId="00BB2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956E4F9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94ECA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8. 库区视频监控系统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00A28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D068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8B762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应与视频监控设备联动，并实现实时备份（第十一条）</w:t>
            </w:r>
          </w:p>
        </w:tc>
      </w:tr>
      <w:tr w14:paraId="50164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873AB5D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8468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9. 操作系统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FFAFE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60C99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9F979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操作系统、数据库、网络安全与应用安全管理等软件应与药品经营规模相适应（第十五条）</w:t>
            </w:r>
          </w:p>
        </w:tc>
      </w:tr>
      <w:tr w14:paraId="141DB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0CE924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22D9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10. 数据库软件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CF69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C825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62014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保证各类记录真实、准确、安全且可追溯（第十五条）</w:t>
            </w:r>
          </w:p>
        </w:tc>
      </w:tr>
      <w:tr w14:paraId="6735F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1E4E36A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D74A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11. 网络安全软件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E256F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67FF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608CF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满足网络安全与应用安全管理需要（第十五条）</w:t>
            </w:r>
          </w:p>
        </w:tc>
      </w:tr>
      <w:tr w14:paraId="777F1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423" w:type="pct"/>
            <w:vMerge w:val="continue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1A32A7B">
            <w:pPr>
              <w:widowControl/>
              <w:spacing w:after="0" w:line="375" w:lineRule="atLeast"/>
              <w:jc w:val="center"/>
              <w:rPr>
                <w:rFonts w:ascii="Segoe UI" w:hAnsi="Segoe UI" w:eastAsia="宋体" w:cs="Segoe UI"/>
                <w:kern w:val="0"/>
                <w:sz w:val="23"/>
                <w:szCs w:val="23"/>
                <w14:ligatures w14:val="none"/>
              </w:rPr>
            </w:pPr>
          </w:p>
        </w:tc>
        <w:tc>
          <w:tcPr>
            <w:tcW w:w="1374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3F26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12. 数据备份系统（异地服务器、多机热备或云储存等）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DFEE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  <w:t>√</w:t>
            </w:r>
          </w:p>
        </w:tc>
        <w:tc>
          <w:tcPr>
            <w:tcW w:w="428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327C1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345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AB79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lang w:val="en-US" w:eastAsia="zh-CN"/>
                <w14:ligatures w14:val="none"/>
              </w:rPr>
              <w:t>数据按日备份；其他系统数据记录至少保存5年，且不少于药品有效期满后1年（第十八条）</w:t>
            </w:r>
          </w:p>
        </w:tc>
      </w:tr>
    </w:tbl>
    <w:p w14:paraId="7946831B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注：1.仓库储存区整体使用面积应不少于3000平方米（其中阴凉库使用面积不少于1500平方米），仓库实际应用高度应达到4米（含）以上</w:t>
      </w:r>
      <w:r>
        <w:rPr>
          <w:rFonts w:hint="eastAsia" w:ascii="Times New Roman" w:hAnsi="Times New Roman" w:eastAsia="仿宋_GB2312" w:cs="Times New Roman"/>
          <w:sz w:val="24"/>
          <w:szCs w:val="24"/>
          <w:lang w:eastAsia="zh-CN"/>
        </w:rPr>
        <w:t>。</w:t>
      </w:r>
      <w:r>
        <w:rPr>
          <w:rFonts w:hint="default" w:ascii="Times New Roman" w:hAnsi="Times New Roman" w:eastAsia="仿宋_GB2312" w:cs="Times New Roman"/>
          <w:sz w:val="24"/>
          <w:szCs w:val="24"/>
        </w:rPr>
        <w:t>仓库面积参照《物流企业分类与评估指标》（GB／T 19680—2013）执行（《办法》第十条）。2.标注“√”为应当配备项；“选配”项按经营范围、经营规模或业务需要配备，备注中注明“必配”的，开展相应业务时必须配备。</w:t>
      </w:r>
    </w:p>
    <w:p w14:paraId="7E2E160E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Segoe UI">
    <w:altName w:val="Noto Naskh Arabic"/>
    <w:panose1 w:val="020B0502040204020203"/>
    <w:charset w:val="00"/>
    <w:family w:val="swiss"/>
    <w:pitch w:val="default"/>
    <w:sig w:usb0="00000000" w:usb1="00000000" w:usb2="00000009" w:usb3="00000000" w:csb0="200001F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DF9C2A4"/>
    <w:rsid w:val="5F7F1BC0"/>
    <w:rsid w:val="DFFAE4E7"/>
    <w:rsid w:val="EDF9C2A4"/>
    <w:rsid w:val="FFDAE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customStyle="1" w:styleId="5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2026-10-10T11:46:00Z</dcterms:created>
  <dc:creator>syj</dc:creator>
  <cp:lastModifiedBy>syj</cp:lastModifiedBy>
  <dcterms:modified xsi:type="dcterms:W3CDTF">2026-10-10T11:47:25Z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6B52C8C8B4163E4712B5C96A5A00219B_41</vt:lpwstr>
  </property>
</Properties>
</file>