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区医保部门联系人信息表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1"/>
        <w:gridCol w:w="4005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备注：区医保部门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shd w:val="clear" w:color="auto" w:fill="FFFFFF"/>
          <w:lang w:val="en-US" w:eastAsia="zh-CN" w:bidi="ar-SA"/>
        </w:rPr>
        <w:t>对应联系人如与全国中药饮片联盟报量项目不一致的，请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于11月11日前将联系人反馈至市级联系邮箱（</w:t>
      </w:r>
      <w:r>
        <w:rPr>
          <w:rFonts w:hint="eastAsia" w:hAnsi="仿宋_GB2312" w:eastAsia="仿宋_GB2312" w:cs="仿宋_GB2312" w:asciiTheme="minorAscii"/>
          <w:color w:val="auto"/>
          <w:sz w:val="32"/>
          <w:szCs w:val="32"/>
          <w:u w:val="none"/>
          <w:lang w:val="en-US" w:eastAsia="zh-CN"/>
        </w:rPr>
        <w:t>yczxypk@ybj.beijing.gov.cn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009AE"/>
    <w:rsid w:val="77A6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2025-11-07T11:33:00Z</dcterms:created>
  <dc:creator>gaochengying</dc:creator>
  <cp:lastModifiedBy>高承英</cp:lastModifiedBy>
  <dcterms:modified xsi:type="dcterms:W3CDTF">2025-11-10T02:47:37Z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