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91E7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附件</w:t>
      </w:r>
    </w:p>
    <w:p w14:paraId="0AA7D10F">
      <w:pPr>
        <w:pStyle w:val="2"/>
        <w:spacing w:line="257" w:lineRule="auto"/>
      </w:pPr>
    </w:p>
    <w:p w14:paraId="16C07F82">
      <w:pPr>
        <w:pStyle w:val="2"/>
        <w:spacing w:line="257" w:lineRule="auto"/>
      </w:pPr>
    </w:p>
    <w:p w14:paraId="358988A7">
      <w:pPr>
        <w:spacing w:before="143" w:line="219" w:lineRule="auto"/>
        <w:ind w:left="12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右旋糖酐铁注射液说明书修订要求</w:t>
      </w:r>
    </w:p>
    <w:p w14:paraId="071ADD47">
      <w:pPr>
        <w:pStyle w:val="2"/>
        <w:spacing w:line="295" w:lineRule="auto"/>
      </w:pPr>
    </w:p>
    <w:p w14:paraId="658279B1">
      <w:pPr>
        <w:pStyle w:val="2"/>
        <w:spacing w:line="295" w:lineRule="auto"/>
      </w:pPr>
    </w:p>
    <w:p w14:paraId="5562C18B">
      <w:pPr>
        <w:spacing w:before="101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一、【不良反应】项下应包括</w:t>
      </w:r>
    </w:p>
    <w:p w14:paraId="27611E92">
      <w:pPr>
        <w:spacing w:before="210" w:line="329" w:lineRule="auto"/>
        <w:ind w:left="30" w:right="49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上市后监测到右旋糖酐铁注射液的下列不良反应，(这些不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良反应来自于无法确定样本量的自发报告，难以准确估计其发生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频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率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)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:</w:t>
      </w:r>
    </w:p>
    <w:p w14:paraId="71B4FCA8">
      <w:pPr>
        <w:spacing w:before="26" w:line="340" w:lineRule="auto"/>
        <w:ind w:left="30" w:right="10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全身性疾病及给药部位反应：</w:t>
      </w:r>
      <w:r>
        <w:rPr>
          <w:rFonts w:ascii="仿宋" w:hAnsi="仿宋" w:eastAsia="仿宋" w:cs="仿宋"/>
          <w:sz w:val="31"/>
          <w:szCs w:val="31"/>
        </w:rPr>
        <w:t xml:space="preserve"> 寒战、发热、乏力、注射部位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疼痛及硬结、静脉炎。</w:t>
      </w:r>
    </w:p>
    <w:p w14:paraId="41F73E9A">
      <w:pPr>
        <w:spacing w:before="1" w:line="331" w:lineRule="auto"/>
        <w:ind w:left="3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皮肤及皮下组织：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皮疹、瘙痒、荨麻疹、红斑、色素沉着、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多汗、潮红、发绀。</w:t>
      </w:r>
    </w:p>
    <w:p w14:paraId="5054A469">
      <w:pPr>
        <w:spacing w:before="30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胃肠系统：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恶心、呕吐、腹痛、腹泻、腹部不适。</w:t>
      </w:r>
    </w:p>
    <w:p w14:paraId="2D366A37">
      <w:pPr>
        <w:spacing w:before="186" w:line="334" w:lineRule="auto"/>
        <w:ind w:left="30" w:firstLine="63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呼吸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系统、胸及纵隔：</w:t>
      </w:r>
      <w:r>
        <w:rPr>
          <w:rFonts w:ascii="仿宋" w:hAnsi="仿宋" w:eastAsia="仿宋" w:cs="仿宋"/>
          <w:spacing w:val="-1"/>
          <w:sz w:val="31"/>
          <w:szCs w:val="31"/>
        </w:rPr>
        <w:t>呼吸困难、呼吸急促、窒息感、咳嗽、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喉水肿、胸痛、胸部不适。</w:t>
      </w:r>
    </w:p>
    <w:p w14:paraId="370AE9E3">
      <w:pPr>
        <w:spacing w:before="18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免疫系统：</w:t>
      </w:r>
      <w:r>
        <w:rPr>
          <w:rFonts w:ascii="仿宋" w:hAnsi="仿宋" w:eastAsia="仿宋" w:cs="仿宋"/>
          <w:spacing w:val="10"/>
          <w:sz w:val="31"/>
          <w:szCs w:val="31"/>
        </w:rPr>
        <w:t>超敏反应、类过敏反应、过敏性休克。</w:t>
      </w:r>
    </w:p>
    <w:p w14:paraId="1E4920FD">
      <w:pPr>
        <w:spacing w:before="201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神经系统：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头晕、头痛、震颤、晕厥、意识丧失、麻木。</w:t>
      </w:r>
    </w:p>
    <w:p w14:paraId="69C7F00A">
      <w:pPr>
        <w:spacing w:before="198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心血管系统</w:t>
      </w:r>
      <w:r>
        <w:rPr>
          <w:rFonts w:ascii="仿宋" w:hAnsi="仿宋" w:eastAsia="仿宋" w:cs="仿宋"/>
          <w:b/>
          <w:bCs/>
          <w:color w:val="203070"/>
          <w:spacing w:val="-1"/>
          <w:sz w:val="31"/>
          <w:szCs w:val="31"/>
        </w:rPr>
        <w:t>：</w:t>
      </w:r>
      <w:r>
        <w:rPr>
          <w:rFonts w:ascii="仿宋" w:hAnsi="仿宋" w:eastAsia="仿宋" w:cs="仿宋"/>
          <w:spacing w:val="-1"/>
          <w:sz w:val="31"/>
          <w:szCs w:val="31"/>
        </w:rPr>
        <w:t>心悸、心动过速、心律失常、低血压、高血压。</w:t>
      </w:r>
    </w:p>
    <w:p w14:paraId="24FCAC36">
      <w:pPr>
        <w:spacing w:before="164" w:line="337" w:lineRule="auto"/>
        <w:ind w:left="30" w:right="19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其他：</w:t>
      </w:r>
      <w:r>
        <w:rPr>
          <w:rFonts w:ascii="仿宋" w:hAnsi="仿宋" w:eastAsia="仿宋" w:cs="仿宋"/>
          <w:spacing w:val="11"/>
          <w:sz w:val="31"/>
          <w:szCs w:val="31"/>
        </w:rPr>
        <w:t>肝功能异常、血氧饱和度下降、抽动、烦躁、背痛、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肌痛、关节痛等。</w:t>
      </w:r>
    </w:p>
    <w:p w14:paraId="7EE7B75B">
      <w:pPr>
        <w:spacing w:before="60" w:line="222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二、【注意事项】项下应包括</w:t>
      </w:r>
    </w:p>
    <w:p w14:paraId="79156244">
      <w:pPr>
        <w:spacing w:before="159" w:line="349" w:lineRule="auto"/>
        <w:ind w:right="130" w:firstLine="66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1.</w:t>
      </w:r>
      <w:r>
        <w:rPr>
          <w:rFonts w:ascii="宋体" w:hAnsi="宋体" w:eastAsia="宋体" w:cs="宋体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任何右旋糖酐铁的肠道外给药都可能导致过敏</w:t>
      </w:r>
      <w:r>
        <w:rPr>
          <w:rFonts w:ascii="仿宋" w:hAnsi="仿宋" w:eastAsia="仿宋" w:cs="仿宋"/>
          <w:spacing w:val="16"/>
          <w:sz w:val="31"/>
          <w:szCs w:val="31"/>
        </w:rPr>
        <w:t>反应，包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括过敏性休克(存在致死性风险)。本品上市后监测到过敏性休</w:t>
      </w:r>
    </w:p>
    <w:p w14:paraId="493ED492">
      <w:pPr>
        <w:spacing w:line="34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40" w:h="16800"/>
          <w:pgMar w:top="400" w:right="1494" w:bottom="1126" w:left="1399" w:header="0" w:footer="724" w:gutter="0"/>
          <w:cols w:space="720" w:num="1"/>
        </w:sectPr>
      </w:pPr>
    </w:p>
    <w:p w14:paraId="504EDB1B">
      <w:pPr>
        <w:pStyle w:val="2"/>
        <w:spacing w:line="274" w:lineRule="auto"/>
      </w:pPr>
    </w:p>
    <w:p w14:paraId="50209FE8">
      <w:pPr>
        <w:pStyle w:val="2"/>
        <w:spacing w:line="274" w:lineRule="auto"/>
      </w:pPr>
    </w:p>
    <w:p w14:paraId="425B1328">
      <w:pPr>
        <w:pStyle w:val="2"/>
        <w:spacing w:line="274" w:lineRule="auto"/>
      </w:pPr>
    </w:p>
    <w:p w14:paraId="78665A5B">
      <w:pPr>
        <w:pStyle w:val="2"/>
        <w:spacing w:line="274" w:lineRule="auto"/>
      </w:pPr>
    </w:p>
    <w:p w14:paraId="45421BE3">
      <w:pPr>
        <w:pStyle w:val="2"/>
        <w:spacing w:line="275" w:lineRule="auto"/>
      </w:pPr>
    </w:p>
    <w:p w14:paraId="14044ADF">
      <w:pPr>
        <w:pStyle w:val="2"/>
        <w:spacing w:line="275" w:lineRule="auto"/>
      </w:pPr>
    </w:p>
    <w:p w14:paraId="1539E0CF">
      <w:pPr>
        <w:spacing w:before="101" w:line="354" w:lineRule="auto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克导致死亡的个例报道，多数发生在用药30分钟内。用药前应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仔细询问患者用药史和过敏史，用药中注意观察</w:t>
      </w:r>
      <w:r>
        <w:rPr>
          <w:rFonts w:ascii="仿宋" w:hAnsi="仿宋" w:eastAsia="仿宋" w:cs="仿宋"/>
          <w:spacing w:val="-2"/>
          <w:sz w:val="31"/>
          <w:szCs w:val="31"/>
        </w:rPr>
        <w:t>。一旦出现皮疹、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瘙痒、呼吸困难、血压下降等症状和体征，应当立即停药并及时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救</w:t>
      </w:r>
      <w:r>
        <w:rPr>
          <w:rFonts w:ascii="仿宋" w:hAnsi="仿宋" w:eastAsia="仿宋" w:cs="仿宋"/>
          <w:spacing w:val="-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治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768DCA73">
      <w:pPr>
        <w:spacing w:before="9" w:line="315" w:lineRule="auto"/>
        <w:ind w:right="40" w:firstLine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2.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应当在具备急救复苏专业人员以及设备的前提下给予右 </w:t>
      </w:r>
      <w:r>
        <w:rPr>
          <w:rFonts w:ascii="仿宋" w:hAnsi="仿宋" w:eastAsia="仿宋" w:cs="仿宋"/>
          <w:spacing w:val="16"/>
          <w:sz w:val="31"/>
          <w:szCs w:val="31"/>
        </w:rPr>
        <w:t>旋糖酐铁，每次用药后病人需要留观至少30分钟，以观察是否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有不良反应发生。给药过程中如果出现过敏反应或者不能耐受，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应当立即停药。应当具备有氧呼吸复苏设施和处理急性过敏/类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过敏反应设施，包括1:1000注射用肾上腺素溶液。另外可适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当的用抗组胺剂和/或者皮质激素治疗。</w:t>
      </w:r>
    </w:p>
    <w:p w14:paraId="53BC361E">
      <w:pPr>
        <w:spacing w:before="197" w:line="280" w:lineRule="auto"/>
        <w:ind w:right="83" w:firstLine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rFonts w:ascii="仿宋" w:hAnsi="仿宋" w:eastAsia="仿宋" w:cs="仿宋"/>
          <w:spacing w:val="6"/>
          <w:sz w:val="31"/>
          <w:szCs w:val="31"/>
        </w:rPr>
        <w:t>静脉注射或者静脉滴注有严格的速度要求，静脉注射过快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可能引起低血压。</w:t>
      </w:r>
    </w:p>
    <w:p w14:paraId="540CAAC7">
      <w:pPr>
        <w:spacing w:before="235"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三、【禁忌】项下应包括</w:t>
      </w:r>
    </w:p>
    <w:p w14:paraId="59C8BF1A">
      <w:pPr>
        <w:spacing w:before="157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1.</w:t>
      </w:r>
      <w:r>
        <w:rPr>
          <w:rFonts w:ascii="仿宋" w:hAnsi="仿宋" w:eastAsia="仿宋" w:cs="仿宋"/>
          <w:spacing w:val="-1"/>
          <w:sz w:val="31"/>
          <w:szCs w:val="31"/>
        </w:rPr>
        <w:t>对本品活性成份及辅料过敏者。</w:t>
      </w:r>
    </w:p>
    <w:p w14:paraId="2FAFF713">
      <w:pPr>
        <w:spacing w:before="182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之前对其他注射用铁剂发生过严重过敏者。</w:t>
      </w:r>
    </w:p>
    <w:p w14:paraId="7343CCED">
      <w:pPr>
        <w:spacing w:before="186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3.</w:t>
      </w:r>
      <w:r>
        <w:rPr>
          <w:rFonts w:ascii="仿宋" w:hAnsi="仿宋" w:eastAsia="仿宋" w:cs="仿宋"/>
          <w:spacing w:val="-4"/>
          <w:sz w:val="31"/>
          <w:szCs w:val="31"/>
        </w:rPr>
        <w:t>非缺铁性贫血患者(如溶血性贫血)。</w:t>
      </w:r>
    </w:p>
    <w:p w14:paraId="04473546">
      <w:pPr>
        <w:spacing w:before="211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4.</w:t>
      </w:r>
      <w:r>
        <w:rPr>
          <w:rFonts w:ascii="仿宋" w:hAnsi="仿宋" w:eastAsia="仿宋" w:cs="仿宋"/>
          <w:spacing w:val="1"/>
          <w:sz w:val="31"/>
          <w:szCs w:val="31"/>
        </w:rPr>
        <w:t>铁超负荷或者铁利用障碍(血色病，含铁血黄素沉着病)。</w:t>
      </w:r>
    </w:p>
    <w:p w14:paraId="116CB89C">
      <w:pPr>
        <w:spacing w:before="192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5.肝硬化失代偿期。</w:t>
      </w:r>
    </w:p>
    <w:p w14:paraId="17553F68">
      <w:pPr>
        <w:spacing w:before="173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6.急、慢性感染，因肠胃外给药可加剧细</w:t>
      </w:r>
      <w:r>
        <w:rPr>
          <w:rFonts w:ascii="仿宋" w:hAnsi="仿宋" w:eastAsia="仿宋" w:cs="仿宋"/>
          <w:spacing w:val="5"/>
          <w:sz w:val="31"/>
          <w:szCs w:val="31"/>
        </w:rPr>
        <w:t>菌或病毒的感染。</w:t>
      </w:r>
    </w:p>
    <w:p w14:paraId="7D5D5CEE">
      <w:pPr>
        <w:spacing w:before="230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四、【孕妇及哺乳期妇女用药】项下应当包括</w:t>
      </w:r>
    </w:p>
    <w:p w14:paraId="0273BA71">
      <w:pPr>
        <w:spacing w:before="157" w:line="334" w:lineRule="auto"/>
        <w:ind w:right="9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未曾在妊娠妇女人群开展过充足的对照临床试验，动物研究 </w:t>
      </w:r>
      <w:r>
        <w:rPr>
          <w:rFonts w:ascii="仿宋" w:hAnsi="仿宋" w:eastAsia="仿宋" w:cs="仿宋"/>
          <w:spacing w:val="5"/>
          <w:sz w:val="31"/>
          <w:szCs w:val="31"/>
        </w:rPr>
        <w:t>显示其高剂量具有致畸性和死胎风险。必须使用右旋糖酐铁治疗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时，应当对妊娠妇女进行详细的获益/风险评估。</w:t>
      </w:r>
    </w:p>
    <w:p w14:paraId="2EBDA6B8">
      <w:pPr>
        <w:spacing w:line="334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40" w:h="16800"/>
          <w:pgMar w:top="400" w:right="1595" w:bottom="1376" w:left="1390" w:header="0" w:footer="971" w:gutter="0"/>
          <w:cols w:space="720" w:num="1"/>
        </w:sectPr>
      </w:pPr>
    </w:p>
    <w:p w14:paraId="62C6819F">
      <w:pPr>
        <w:pStyle w:val="2"/>
        <w:spacing w:line="270" w:lineRule="auto"/>
      </w:pPr>
    </w:p>
    <w:p w14:paraId="72468D7C">
      <w:pPr>
        <w:pStyle w:val="2"/>
        <w:spacing w:line="270" w:lineRule="auto"/>
      </w:pPr>
    </w:p>
    <w:p w14:paraId="5CEA069E">
      <w:pPr>
        <w:pStyle w:val="2"/>
        <w:spacing w:line="271" w:lineRule="auto"/>
      </w:pPr>
    </w:p>
    <w:p w14:paraId="0E4A1C49">
      <w:pPr>
        <w:pStyle w:val="2"/>
        <w:spacing w:line="271" w:lineRule="auto"/>
      </w:pPr>
    </w:p>
    <w:p w14:paraId="472B196D">
      <w:pPr>
        <w:pStyle w:val="2"/>
        <w:spacing w:line="271" w:lineRule="auto"/>
      </w:pPr>
    </w:p>
    <w:p w14:paraId="7FA6C065">
      <w:pPr>
        <w:pStyle w:val="2"/>
        <w:spacing w:line="271" w:lineRule="auto"/>
      </w:pPr>
    </w:p>
    <w:p w14:paraId="248C2A64">
      <w:pPr>
        <w:pStyle w:val="2"/>
        <w:spacing w:line="271" w:lineRule="auto"/>
      </w:pPr>
    </w:p>
    <w:p w14:paraId="7B823360">
      <w:pPr>
        <w:spacing w:before="104" w:line="331" w:lineRule="auto"/>
        <w:ind w:right="3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本品不应当用于早孕期妇女，对于妊娠中期、晚期妇女如口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服铁剂无效或者不能口服，应当在医生指导下使用本品。</w:t>
      </w:r>
    </w:p>
    <w:p w14:paraId="12A14C70">
      <w:pPr>
        <w:pStyle w:val="2"/>
        <w:spacing w:line="440" w:lineRule="auto"/>
      </w:pPr>
    </w:p>
    <w:p w14:paraId="4766F29D">
      <w:pPr>
        <w:spacing w:before="104" w:line="329" w:lineRule="auto"/>
        <w:ind w:firstLine="780"/>
        <w:jc w:val="both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2160" w:h="16960"/>
          <w:pgMar w:top="400" w:right="1819" w:bottom="1174" w:left="1439" w:header="0" w:footer="759" w:gutter="0"/>
          <w:cols w:space="720" w:num="1"/>
        </w:sectPr>
      </w:pPr>
      <w:r>
        <w:rPr>
          <w:rFonts w:ascii="仿宋" w:hAnsi="仿宋" w:eastAsia="仿宋" w:cs="仿宋"/>
          <w:spacing w:val="-2"/>
          <w:sz w:val="32"/>
          <w:szCs w:val="32"/>
        </w:rPr>
        <w:t>(注：如原批准说明书的安全性内容较本修订要求内容更全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面或者更严格的，应当保留原批准内容。说明书其他</w:t>
      </w:r>
      <w:r>
        <w:rPr>
          <w:rFonts w:ascii="仿宋" w:hAnsi="仿宋" w:eastAsia="仿宋" w:cs="仿宋"/>
          <w:spacing w:val="-3"/>
          <w:sz w:val="32"/>
          <w:szCs w:val="32"/>
        </w:rPr>
        <w:t>内容如与上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述修订要求不一致的，应当一并进行修订。</w:t>
      </w:r>
      <w:bookmarkStart w:id="0" w:name="_GoBack"/>
      <w:bookmarkEnd w:id="0"/>
    </w:p>
    <w:p w14:paraId="3E6FA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87DB9">
    <w:pPr>
      <w:spacing w:line="233" w:lineRule="auto"/>
      <w:ind w:left="76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EA844">
    <w:pPr>
      <w:spacing w:line="235" w:lineRule="auto"/>
      <w:ind w:left="2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404070"/>
        <w:spacing w:val="-4"/>
        <w:sz w:val="31"/>
        <w:szCs w:val="31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5A7DD">
    <w:pPr>
      <w:spacing w:before="1" w:line="233" w:lineRule="auto"/>
      <w:ind w:left="764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4A74"/>
    <w:rsid w:val="42C1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2025-10-31T08:06:21Z</dcterms:created>
  <dc:creator>Administrator</dc:creator>
  <cp:lastModifiedBy>张永强</cp:lastModifiedBy>
  <dcterms:modified xsi:type="dcterms:W3CDTF">2025-10-31T08:07:09Z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C0D24D5FF722485CB8163BC036331F03_12</vt:lpwstr>
  </property>
</Properties>
</file>