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lang w:val="en-US" w:eastAsia="zh-CN"/>
        </w:rPr>
      </w:pPr>
      <w:r>
        <w:rPr>
          <w:rFonts w:hint="eastAsia"/>
          <w:b/>
          <w:bCs/>
          <w:lang w:val="en-US" w:eastAsia="zh-CN"/>
        </w:rPr>
        <w:t>附件：</w:t>
      </w:r>
    </w:p>
    <w:p>
      <w:pPr>
        <w:jc w:val="center"/>
        <w:rPr>
          <w:rFonts w:hint="eastAsia" w:ascii="仿宋_GB2312" w:hAnsi="仿宋_GB2312" w:eastAsia="仿宋_GB2312" w:cs="仿宋_GB2312"/>
          <w:sz w:val="32"/>
          <w:szCs w:val="32"/>
          <w:lang w:val="en-US" w:eastAsia="zh-CN"/>
        </w:rPr>
      </w:pPr>
      <w:bookmarkStart w:id="0" w:name="_GoBack"/>
      <w:r>
        <w:rPr>
          <w:rFonts w:hint="eastAsia" w:ascii="方正小标宋_GBK" w:hAnsi="方正小标宋_GBK" w:eastAsia="方正小标宋_GBK" w:cs="方正小标宋_GBK"/>
          <w:b/>
          <w:bCs/>
          <w:sz w:val="32"/>
          <w:szCs w:val="32"/>
          <w:lang w:val="en-US" w:eastAsia="zh-CN"/>
        </w:rPr>
        <w:t>产地趁鲜切制加工中药材品种征集表</w:t>
      </w:r>
    </w:p>
    <w:bookmarkEnd w:id="0"/>
    <w:tbl>
      <w:tblPr>
        <w:tblStyle w:val="3"/>
        <w:tblW w:w="13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325"/>
        <w:gridCol w:w="1940"/>
        <w:gridCol w:w="1772"/>
        <w:gridCol w:w="5006"/>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2325" w:type="dxa"/>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推荐单位</w:t>
            </w:r>
          </w:p>
        </w:tc>
        <w:tc>
          <w:tcPr>
            <w:tcW w:w="1940" w:type="dxa"/>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推荐中药材品种</w:t>
            </w:r>
          </w:p>
        </w:tc>
        <w:tc>
          <w:tcPr>
            <w:tcW w:w="1772" w:type="dxa"/>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推荐中药材品种主产地</w:t>
            </w:r>
          </w:p>
        </w:tc>
        <w:tc>
          <w:tcPr>
            <w:tcW w:w="5006" w:type="dxa"/>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列入理由</w:t>
            </w:r>
          </w:p>
        </w:tc>
        <w:tc>
          <w:tcPr>
            <w:tcW w:w="1969" w:type="dxa"/>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产地加工企业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881"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325"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940"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772"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主产地填至</w:t>
            </w:r>
          </w:p>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市县</w:t>
            </w:r>
          </w:p>
        </w:tc>
        <w:tc>
          <w:tcPr>
            <w:tcW w:w="5006" w:type="dxa"/>
          </w:tcPr>
          <w:p>
            <w:pPr>
              <w:jc w:val="both"/>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包括但不限于：是否为我省道地药材，是否是GAP基地品种，在我省种植情况，种植面积和产值情况，是否有趁鲜切制的传统，在生产实际过程中趁鲜切制的优势是什么.......等理由；</w:t>
            </w:r>
          </w:p>
          <w:p>
            <w:pPr>
              <w:jc w:val="both"/>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其他有关趁鲜切制加工的研究数据或者论证成果也可以附件的形式发送邮箱。</w:t>
            </w:r>
          </w:p>
        </w:tc>
        <w:tc>
          <w:tcPr>
            <w:tcW w:w="1969"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1" w:type="dxa"/>
          </w:tcPr>
          <w:p>
            <w:pPr>
              <w:jc w:val="both"/>
              <w:rPr>
                <w:rFonts w:hint="default" w:ascii="仿宋_GB2312" w:hAnsi="仿宋_GB2312" w:eastAsia="仿宋_GB2312" w:cs="仿宋_GB2312"/>
                <w:sz w:val="32"/>
                <w:szCs w:val="32"/>
                <w:vertAlign w:val="baseline"/>
                <w:lang w:val="en-US" w:eastAsia="zh-CN"/>
              </w:rPr>
            </w:pPr>
          </w:p>
        </w:tc>
        <w:tc>
          <w:tcPr>
            <w:tcW w:w="2325" w:type="dxa"/>
          </w:tcPr>
          <w:p>
            <w:pPr>
              <w:jc w:val="both"/>
              <w:rPr>
                <w:rFonts w:hint="default" w:ascii="仿宋_GB2312" w:hAnsi="仿宋_GB2312" w:eastAsia="仿宋_GB2312" w:cs="仿宋_GB2312"/>
                <w:sz w:val="32"/>
                <w:szCs w:val="32"/>
                <w:vertAlign w:val="baseline"/>
                <w:lang w:val="en-US" w:eastAsia="zh-CN"/>
              </w:rPr>
            </w:pPr>
          </w:p>
        </w:tc>
        <w:tc>
          <w:tcPr>
            <w:tcW w:w="1940" w:type="dxa"/>
          </w:tcPr>
          <w:p>
            <w:pPr>
              <w:jc w:val="both"/>
              <w:rPr>
                <w:rFonts w:hint="default" w:ascii="仿宋_GB2312" w:hAnsi="仿宋_GB2312" w:eastAsia="仿宋_GB2312" w:cs="仿宋_GB2312"/>
                <w:sz w:val="32"/>
                <w:szCs w:val="32"/>
                <w:vertAlign w:val="baseline"/>
                <w:lang w:val="en-US" w:eastAsia="zh-CN"/>
              </w:rPr>
            </w:pPr>
          </w:p>
        </w:tc>
        <w:tc>
          <w:tcPr>
            <w:tcW w:w="1772" w:type="dxa"/>
          </w:tcPr>
          <w:p>
            <w:pPr>
              <w:jc w:val="both"/>
              <w:rPr>
                <w:rFonts w:hint="default" w:ascii="仿宋_GB2312" w:hAnsi="仿宋_GB2312" w:eastAsia="仿宋_GB2312" w:cs="仿宋_GB2312"/>
                <w:sz w:val="32"/>
                <w:szCs w:val="32"/>
                <w:vertAlign w:val="baseline"/>
                <w:lang w:val="en-US" w:eastAsia="zh-CN"/>
              </w:rPr>
            </w:pPr>
          </w:p>
        </w:tc>
        <w:tc>
          <w:tcPr>
            <w:tcW w:w="5006" w:type="dxa"/>
          </w:tcPr>
          <w:p>
            <w:pPr>
              <w:jc w:val="both"/>
              <w:rPr>
                <w:rFonts w:hint="default" w:ascii="仿宋_GB2312" w:hAnsi="仿宋_GB2312" w:eastAsia="仿宋_GB2312" w:cs="仿宋_GB2312"/>
                <w:sz w:val="32"/>
                <w:szCs w:val="32"/>
                <w:vertAlign w:val="baseline"/>
                <w:lang w:val="en-US" w:eastAsia="zh-CN"/>
              </w:rPr>
            </w:pPr>
          </w:p>
        </w:tc>
        <w:tc>
          <w:tcPr>
            <w:tcW w:w="1969" w:type="dxa"/>
          </w:tcPr>
          <w:p>
            <w:pPr>
              <w:jc w:val="both"/>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81" w:type="dxa"/>
          </w:tcPr>
          <w:p>
            <w:pPr>
              <w:jc w:val="both"/>
              <w:rPr>
                <w:rFonts w:hint="default" w:ascii="仿宋_GB2312" w:hAnsi="仿宋_GB2312" w:eastAsia="仿宋_GB2312" w:cs="仿宋_GB2312"/>
                <w:sz w:val="32"/>
                <w:szCs w:val="32"/>
                <w:vertAlign w:val="baseline"/>
                <w:lang w:val="en-US" w:eastAsia="zh-CN"/>
              </w:rPr>
            </w:pPr>
          </w:p>
        </w:tc>
        <w:tc>
          <w:tcPr>
            <w:tcW w:w="2325" w:type="dxa"/>
          </w:tcPr>
          <w:p>
            <w:pPr>
              <w:jc w:val="both"/>
              <w:rPr>
                <w:rFonts w:hint="default" w:ascii="仿宋_GB2312" w:hAnsi="仿宋_GB2312" w:eastAsia="仿宋_GB2312" w:cs="仿宋_GB2312"/>
                <w:sz w:val="32"/>
                <w:szCs w:val="32"/>
                <w:vertAlign w:val="baseline"/>
                <w:lang w:val="en-US" w:eastAsia="zh-CN"/>
              </w:rPr>
            </w:pPr>
          </w:p>
        </w:tc>
        <w:tc>
          <w:tcPr>
            <w:tcW w:w="1940" w:type="dxa"/>
          </w:tcPr>
          <w:p>
            <w:pPr>
              <w:jc w:val="both"/>
              <w:rPr>
                <w:rFonts w:hint="default" w:ascii="仿宋_GB2312" w:hAnsi="仿宋_GB2312" w:eastAsia="仿宋_GB2312" w:cs="仿宋_GB2312"/>
                <w:sz w:val="32"/>
                <w:szCs w:val="32"/>
                <w:vertAlign w:val="baseline"/>
                <w:lang w:val="en-US" w:eastAsia="zh-CN"/>
              </w:rPr>
            </w:pPr>
          </w:p>
        </w:tc>
        <w:tc>
          <w:tcPr>
            <w:tcW w:w="1772" w:type="dxa"/>
          </w:tcPr>
          <w:p>
            <w:pPr>
              <w:jc w:val="both"/>
              <w:rPr>
                <w:rFonts w:hint="default" w:ascii="仿宋_GB2312" w:hAnsi="仿宋_GB2312" w:eastAsia="仿宋_GB2312" w:cs="仿宋_GB2312"/>
                <w:sz w:val="32"/>
                <w:szCs w:val="32"/>
                <w:vertAlign w:val="baseline"/>
                <w:lang w:val="en-US" w:eastAsia="zh-CN"/>
              </w:rPr>
            </w:pPr>
          </w:p>
        </w:tc>
        <w:tc>
          <w:tcPr>
            <w:tcW w:w="5006" w:type="dxa"/>
          </w:tcPr>
          <w:p>
            <w:pPr>
              <w:jc w:val="both"/>
              <w:rPr>
                <w:rFonts w:hint="default" w:ascii="仿宋_GB2312" w:hAnsi="仿宋_GB2312" w:eastAsia="仿宋_GB2312" w:cs="仿宋_GB2312"/>
                <w:sz w:val="32"/>
                <w:szCs w:val="32"/>
                <w:vertAlign w:val="baseline"/>
                <w:lang w:val="en-US" w:eastAsia="zh-CN"/>
              </w:rPr>
            </w:pPr>
          </w:p>
        </w:tc>
        <w:tc>
          <w:tcPr>
            <w:tcW w:w="1969" w:type="dxa"/>
          </w:tcPr>
          <w:p>
            <w:pPr>
              <w:jc w:val="both"/>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Pr>
          <w:p>
            <w:pPr>
              <w:jc w:val="both"/>
              <w:rPr>
                <w:rFonts w:hint="default" w:ascii="仿宋_GB2312" w:hAnsi="仿宋_GB2312" w:eastAsia="仿宋_GB2312" w:cs="仿宋_GB2312"/>
                <w:sz w:val="32"/>
                <w:szCs w:val="32"/>
                <w:vertAlign w:val="baseline"/>
                <w:lang w:val="en-US" w:eastAsia="zh-CN"/>
              </w:rPr>
            </w:pPr>
          </w:p>
        </w:tc>
        <w:tc>
          <w:tcPr>
            <w:tcW w:w="2325" w:type="dxa"/>
          </w:tcPr>
          <w:p>
            <w:pPr>
              <w:jc w:val="both"/>
              <w:rPr>
                <w:rFonts w:hint="default" w:ascii="仿宋_GB2312" w:hAnsi="仿宋_GB2312" w:eastAsia="仿宋_GB2312" w:cs="仿宋_GB2312"/>
                <w:sz w:val="32"/>
                <w:szCs w:val="32"/>
                <w:vertAlign w:val="baseline"/>
                <w:lang w:val="en-US" w:eastAsia="zh-CN"/>
              </w:rPr>
            </w:pPr>
          </w:p>
        </w:tc>
        <w:tc>
          <w:tcPr>
            <w:tcW w:w="1940" w:type="dxa"/>
          </w:tcPr>
          <w:p>
            <w:pPr>
              <w:jc w:val="both"/>
              <w:rPr>
                <w:rFonts w:hint="default" w:ascii="仿宋_GB2312" w:hAnsi="仿宋_GB2312" w:eastAsia="仿宋_GB2312" w:cs="仿宋_GB2312"/>
                <w:sz w:val="32"/>
                <w:szCs w:val="32"/>
                <w:vertAlign w:val="baseline"/>
                <w:lang w:val="en-US" w:eastAsia="zh-CN"/>
              </w:rPr>
            </w:pPr>
          </w:p>
        </w:tc>
        <w:tc>
          <w:tcPr>
            <w:tcW w:w="1772" w:type="dxa"/>
          </w:tcPr>
          <w:p>
            <w:pPr>
              <w:jc w:val="both"/>
              <w:rPr>
                <w:rFonts w:hint="default" w:ascii="仿宋_GB2312" w:hAnsi="仿宋_GB2312" w:eastAsia="仿宋_GB2312" w:cs="仿宋_GB2312"/>
                <w:sz w:val="32"/>
                <w:szCs w:val="32"/>
                <w:vertAlign w:val="baseline"/>
                <w:lang w:val="en-US" w:eastAsia="zh-CN"/>
              </w:rPr>
            </w:pPr>
          </w:p>
        </w:tc>
        <w:tc>
          <w:tcPr>
            <w:tcW w:w="5006" w:type="dxa"/>
          </w:tcPr>
          <w:p>
            <w:pPr>
              <w:jc w:val="both"/>
              <w:rPr>
                <w:rFonts w:hint="default" w:ascii="仿宋_GB2312" w:hAnsi="仿宋_GB2312" w:eastAsia="仿宋_GB2312" w:cs="仿宋_GB2312"/>
                <w:sz w:val="32"/>
                <w:szCs w:val="32"/>
                <w:vertAlign w:val="baseline"/>
                <w:lang w:val="en-US" w:eastAsia="zh-CN"/>
              </w:rPr>
            </w:pPr>
          </w:p>
        </w:tc>
        <w:tc>
          <w:tcPr>
            <w:tcW w:w="1969" w:type="dxa"/>
          </w:tcPr>
          <w:p>
            <w:pPr>
              <w:jc w:val="both"/>
              <w:rPr>
                <w:rFonts w:hint="default" w:ascii="仿宋_GB2312" w:hAnsi="仿宋_GB2312" w:eastAsia="仿宋_GB2312" w:cs="仿宋_GB2312"/>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trike w:val="0"/>
          <w:dstrike w:val="0"/>
          <w:sz w:val="28"/>
          <w:szCs w:val="28"/>
          <w:u w:val="single"/>
          <w:lang w:val="en-US" w:eastAsia="zh-CN"/>
        </w:rPr>
      </w:pPr>
      <w:r>
        <w:rPr>
          <w:rFonts w:hint="eastAsia" w:ascii="仿宋_GB2312" w:hAnsi="仿宋_GB2312" w:eastAsia="仿宋_GB2312" w:cs="仿宋_GB2312"/>
          <w:sz w:val="28"/>
          <w:szCs w:val="28"/>
          <w:lang w:val="en-US" w:eastAsia="zh-CN"/>
        </w:rPr>
        <w:t>填报单位（盖章）：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单位地址：</w:t>
      </w:r>
      <w:r>
        <w:rPr>
          <w:rFonts w:hint="eastAsia" w:ascii="仿宋_GB2312" w:hAnsi="仿宋_GB2312" w:eastAsia="仿宋_GB2312" w:cs="仿宋_GB2312"/>
          <w:strike w:val="0"/>
          <w:dstrike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联系电话：</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p>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若已制定趁鲜切制加工药材质量标准和加工规程，请作为附件一并填报；</w:t>
      </w:r>
      <w:r>
        <w:rPr>
          <w:rFonts w:hint="eastAsia" w:ascii="仿宋_GB2312" w:hAnsi="仿宋_GB2312" w:eastAsia="仿宋_GB2312" w:cs="仿宋_GB2312"/>
          <w:sz w:val="28"/>
          <w:szCs w:val="28"/>
          <w:lang w:val="en-US" w:eastAsia="zh-CN"/>
        </w:rPr>
        <w:t>2.填报内容较多的，此表可附页。</w:t>
      </w:r>
    </w:p>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2D51"/>
    <w:rsid w:val="7FFF2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2025-09-10T17:57:00Z</dcterms:created>
  <dc:creator>yjj175</dc:creator>
  <cp:lastModifiedBy>yjj175</cp:lastModifiedBy>
  <dcterms:modified xsi:type="dcterms:W3CDTF">2025-09-10T17:57:48Z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