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7B685">
      <w:pPr>
        <w:spacing w:before="98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5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5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2</w:t>
      </w:r>
    </w:p>
    <w:p w14:paraId="54EF5A82">
      <w:pPr>
        <w:spacing w:line="290" w:lineRule="auto"/>
        <w:rPr>
          <w:rFonts w:ascii="Arial"/>
          <w:sz w:val="21"/>
        </w:rPr>
      </w:pPr>
    </w:p>
    <w:p w14:paraId="2ABE64D2">
      <w:pPr>
        <w:spacing w:before="98" w:line="219" w:lineRule="auto"/>
        <w:ind w:left="309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养心定悸胶囊说明书</w:t>
      </w:r>
    </w:p>
    <w:p w14:paraId="57CDEE9A">
      <w:pPr>
        <w:spacing w:line="384" w:lineRule="auto"/>
        <w:rPr>
          <w:rFonts w:ascii="Arial"/>
          <w:sz w:val="21"/>
        </w:rPr>
      </w:pPr>
    </w:p>
    <w:p w14:paraId="249FE2B1">
      <w:pPr>
        <w:spacing w:before="65" w:line="219" w:lineRule="auto"/>
        <w:ind w:left="168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9"/>
          <w:sz w:val="20"/>
          <w:szCs w:val="20"/>
        </w:rPr>
        <w:t>请仔细阅读说明书并按说明使用或在药师指导下购买和使用</w:t>
      </w:r>
    </w:p>
    <w:p w14:paraId="29506DE5">
      <w:pPr>
        <w:spacing w:line="290" w:lineRule="auto"/>
        <w:rPr>
          <w:rFonts w:ascii="Arial"/>
          <w:sz w:val="21"/>
        </w:rPr>
      </w:pPr>
    </w:p>
    <w:p w14:paraId="0860DC9C">
      <w:pPr>
        <w:spacing w:before="65" w:line="220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[药品名称]</w:t>
      </w:r>
    </w:p>
    <w:p w14:paraId="6C4126A1">
      <w:pPr>
        <w:spacing w:before="21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通用名称：养心定悸胶囊</w:t>
      </w:r>
    </w:p>
    <w:p w14:paraId="1DA27015">
      <w:pPr>
        <w:spacing w:before="43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汉语拼音：</w:t>
      </w:r>
    </w:p>
    <w:p w14:paraId="511004AF">
      <w:pPr>
        <w:spacing w:before="42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[成份]</w:t>
      </w:r>
    </w:p>
    <w:p w14:paraId="00CC0B5F">
      <w:pPr>
        <w:spacing w:before="73" w:line="2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[性状]</w:t>
      </w:r>
    </w:p>
    <w:p w14:paraId="0511B303">
      <w:pPr>
        <w:spacing w:before="1" w:line="281" w:lineRule="auto"/>
        <w:ind w:right="18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[功能主治]养血益气，定悸。用于气虚血少所致的心悸气短，</w:t>
      </w:r>
      <w:r>
        <w:rPr>
          <w:rFonts w:ascii="宋体" w:hAnsi="宋体" w:eastAsia="宋体" w:cs="宋体"/>
          <w:spacing w:val="7"/>
          <w:sz w:val="20"/>
          <w:szCs w:val="20"/>
        </w:rPr>
        <w:t>盗汗失眠，咽干舌燥，大便干结。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[规格]每粒装0.5克</w:t>
      </w:r>
    </w:p>
    <w:p w14:paraId="4A2CE783">
      <w:pPr>
        <w:spacing w:line="21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[用法用量]口服。</w:t>
      </w:r>
      <w:r>
        <w:rPr>
          <w:rFonts w:ascii="宋体" w:hAnsi="宋体" w:eastAsia="宋体" w:cs="宋体"/>
          <w:spacing w:val="7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一次6~8粒， 一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日2次。</w:t>
      </w:r>
    </w:p>
    <w:p w14:paraId="3DF08995">
      <w:pPr>
        <w:spacing w:before="1" w:line="280" w:lineRule="auto"/>
        <w:ind w:right="8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[不良反应]监测数据显示，本品可见以下不良反应报告：恶心、呕吐、腹</w:t>
      </w:r>
      <w:r>
        <w:rPr>
          <w:rFonts w:ascii="宋体" w:hAnsi="宋体" w:eastAsia="宋体" w:cs="宋体"/>
          <w:spacing w:val="9"/>
          <w:sz w:val="20"/>
          <w:szCs w:val="20"/>
        </w:rPr>
        <w:t>泻、腹胀、腹痛、腹部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不适、皮疹、瘙痒、头晕、头痛等。</w:t>
      </w:r>
    </w:p>
    <w:p w14:paraId="3E115155">
      <w:pPr>
        <w:spacing w:before="2" w:line="222" w:lineRule="auto"/>
        <w:ind w:left="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[禁忌]</w:t>
      </w:r>
    </w:p>
    <w:p w14:paraId="1D083E22">
      <w:pPr>
        <w:spacing w:before="39" w:line="219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1.腹胀便溏、食少苔腻者忌服。</w:t>
      </w:r>
    </w:p>
    <w:p w14:paraId="679D36A3">
      <w:pPr>
        <w:spacing w:before="43" w:line="219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3"/>
          <w:sz w:val="20"/>
          <w:szCs w:val="20"/>
        </w:rPr>
        <w:t>2.孕妇禁用。</w:t>
      </w:r>
    </w:p>
    <w:p w14:paraId="6AD53263">
      <w:pPr>
        <w:spacing w:before="11" w:line="219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3"/>
          <w:sz w:val="20"/>
          <w:szCs w:val="20"/>
        </w:rPr>
        <w:t>3.对本品及所含成份过敏者禁用。</w:t>
      </w:r>
    </w:p>
    <w:p w14:paraId="7B9DAF03">
      <w:pPr>
        <w:spacing w:before="55" w:line="220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3"/>
          <w:sz w:val="20"/>
          <w:szCs w:val="20"/>
        </w:rPr>
        <w:t>[注意事项]</w:t>
      </w:r>
    </w:p>
    <w:p w14:paraId="5CAE828D">
      <w:pPr>
        <w:spacing w:before="14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1.总辛辣、生冷、油腻食物。</w:t>
      </w:r>
    </w:p>
    <w:p w14:paraId="798EB4C6">
      <w:pPr>
        <w:spacing w:before="33" w:line="220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2.感冒发热病人不宜服用。</w:t>
      </w:r>
    </w:p>
    <w:p w14:paraId="0A7311DE">
      <w:pPr>
        <w:spacing w:before="31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3.高血压、心脏病、肝病、糖尿病、肾病等患者应当在医师指导下服用。</w:t>
      </w:r>
    </w:p>
    <w:p w14:paraId="34E80970">
      <w:pPr>
        <w:spacing w:before="3" w:line="21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4.服药2周或者服药期间症状无改善，或者症状加重，或者出现新的严重症状，应当去医院就诊。</w:t>
      </w:r>
    </w:p>
    <w:p w14:paraId="7AA8237B">
      <w:pPr>
        <w:spacing w:before="93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5.心悸、气短严重者，应当去医院就诊。</w:t>
      </w:r>
    </w:p>
    <w:p w14:paraId="297683C7">
      <w:pPr>
        <w:spacing w:before="41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6.不宜同时服用藜芦、五灵脂、皂荚或者其制剂；不宜喝茶和吃萝卜，以免影响药效。</w:t>
      </w:r>
    </w:p>
    <w:p w14:paraId="42960AA8">
      <w:pPr>
        <w:spacing w:before="44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7.过敏体质者慎用。</w:t>
      </w:r>
    </w:p>
    <w:p w14:paraId="4C5B9BDC">
      <w:pPr>
        <w:spacing w:before="2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8.本品性状发生改变时禁止使用。</w:t>
      </w:r>
    </w:p>
    <w:p w14:paraId="0CFD15CF">
      <w:pPr>
        <w:spacing w:before="22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9.请将本品放在儿童不能接触的地方。</w:t>
      </w:r>
    </w:p>
    <w:p w14:paraId="572F6423">
      <w:pPr>
        <w:spacing w:before="20" w:line="219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10.如正在使用其他药品，使用本品前请咨询医师或者药师。</w:t>
      </w:r>
    </w:p>
    <w:p w14:paraId="53A3721A">
      <w:pPr>
        <w:spacing w:before="26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[药物相互作用]如与其他药物同时使用可能会发生药物相互作用，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详情请咨询医师或者</w:t>
      </w:r>
      <w:r>
        <w:rPr>
          <w:rFonts w:ascii="宋体" w:hAnsi="宋体" w:eastAsia="宋体" w:cs="宋体"/>
          <w:spacing w:val="5"/>
          <w:sz w:val="20"/>
          <w:szCs w:val="20"/>
        </w:rPr>
        <w:t>药师。</w:t>
      </w:r>
    </w:p>
    <w:p w14:paraId="2594473C">
      <w:pPr>
        <w:spacing w:before="114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[贮藏]</w:t>
      </w:r>
    </w:p>
    <w:p w14:paraId="69B842AA">
      <w:pPr>
        <w:spacing w:before="73" w:line="220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[包装]</w:t>
      </w:r>
    </w:p>
    <w:p w14:paraId="538336E7">
      <w:pPr>
        <w:spacing w:before="72" w:line="220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[有效期]</w:t>
      </w:r>
    </w:p>
    <w:p w14:paraId="63F7792A">
      <w:pPr>
        <w:spacing w:before="70" w:line="286" w:lineRule="auto"/>
        <w:ind w:right="79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[执行标准]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[批准文号]</w:t>
      </w:r>
    </w:p>
    <w:p w14:paraId="2F818A8B">
      <w:pPr>
        <w:spacing w:before="1" w:line="21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[说明书修订口期]</w:t>
      </w:r>
    </w:p>
    <w:p w14:paraId="5C7CEA24">
      <w:pPr>
        <w:spacing w:before="74" w:line="287" w:lineRule="auto"/>
        <w:ind w:right="68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[药品上市许可持有人]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sz w:val="20"/>
          <w:szCs w:val="20"/>
        </w:rPr>
        <w:t>名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-9"/>
          <w:sz w:val="20"/>
          <w:szCs w:val="20"/>
        </w:rPr>
        <w:t>称：</w:t>
      </w:r>
    </w:p>
    <w:p w14:paraId="724C8AD4">
      <w:pPr>
        <w:spacing w:line="220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>注册地址：</w:t>
      </w:r>
    </w:p>
    <w:p w14:paraId="244555E4">
      <w:pPr>
        <w:spacing w:before="70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>邮政编码：</w:t>
      </w:r>
    </w:p>
    <w:p w14:paraId="4EB44079">
      <w:pPr>
        <w:spacing w:before="74"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>电话号码：</w:t>
      </w:r>
    </w:p>
    <w:p w14:paraId="375045C2">
      <w:pPr>
        <w:spacing w:line="221" w:lineRule="auto"/>
        <w:rPr>
          <w:rFonts w:ascii="宋体" w:hAnsi="宋体" w:eastAsia="宋体" w:cs="宋体"/>
          <w:sz w:val="20"/>
          <w:szCs w:val="20"/>
        </w:rPr>
        <w:sectPr>
          <w:footerReference r:id="rId5" w:type="default"/>
          <w:pgSz w:w="11940" w:h="16800"/>
          <w:pgMar w:top="1428" w:right="1329" w:bottom="1137" w:left="1700" w:header="0" w:footer="746" w:gutter="0"/>
          <w:cols w:space="720" w:num="1"/>
        </w:sectPr>
      </w:pPr>
    </w:p>
    <w:p w14:paraId="21F408B3">
      <w:pPr>
        <w:spacing w:line="287" w:lineRule="auto"/>
        <w:rPr>
          <w:rFonts w:ascii="Arial"/>
          <w:sz w:val="21"/>
        </w:rPr>
      </w:pPr>
    </w:p>
    <w:p w14:paraId="7EBA2C8F">
      <w:pPr>
        <w:spacing w:line="287" w:lineRule="auto"/>
        <w:rPr>
          <w:rFonts w:ascii="Arial"/>
          <w:sz w:val="21"/>
        </w:rPr>
      </w:pPr>
    </w:p>
    <w:p w14:paraId="36111483">
      <w:pPr>
        <w:spacing w:line="287" w:lineRule="auto"/>
        <w:rPr>
          <w:rFonts w:ascii="Arial"/>
          <w:sz w:val="21"/>
        </w:rPr>
      </w:pPr>
    </w:p>
    <w:p w14:paraId="21BAA501">
      <w:pPr>
        <w:spacing w:before="62" w:line="219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3"/>
          <w:sz w:val="19"/>
          <w:szCs w:val="19"/>
        </w:rPr>
        <w:t>传真号码：</w:t>
      </w:r>
    </w:p>
    <w:p w14:paraId="7FFB4F91">
      <w:pPr>
        <w:spacing w:before="91" w:line="22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19"/>
          <w:szCs w:val="19"/>
        </w:rPr>
        <w:t>网     址</w:t>
      </w:r>
      <w:r>
        <w:rPr>
          <w:rFonts w:ascii="宋体" w:hAnsi="宋体" w:eastAsia="宋体" w:cs="宋体"/>
          <w:spacing w:val="-2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：</w:t>
      </w:r>
    </w:p>
    <w:p w14:paraId="3864EBC3">
      <w:pPr>
        <w:spacing w:before="74" w:line="219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color w:val="504070"/>
          <w:spacing w:val="14"/>
          <w:sz w:val="19"/>
          <w:szCs w:val="19"/>
        </w:rPr>
        <w:t>[生产企业]</w:t>
      </w:r>
    </w:p>
    <w:p w14:paraId="2C862E6A">
      <w:pPr>
        <w:spacing w:before="87" w:line="221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3"/>
          <w:sz w:val="19"/>
          <w:szCs w:val="19"/>
        </w:rPr>
        <w:t>企业名称：</w:t>
      </w:r>
    </w:p>
    <w:p w14:paraId="172E60CF">
      <w:pPr>
        <w:spacing w:before="80" w:line="219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color w:val="303040"/>
          <w:spacing w:val="13"/>
          <w:sz w:val="19"/>
          <w:szCs w:val="19"/>
        </w:rPr>
        <w:t>生产地址：</w:t>
      </w:r>
    </w:p>
    <w:p w14:paraId="597C9B36">
      <w:pPr>
        <w:spacing w:before="81" w:line="219" w:lineRule="auto"/>
        <w:ind w:left="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color w:val="303050"/>
          <w:spacing w:val="21"/>
          <w:sz w:val="19"/>
          <w:szCs w:val="19"/>
        </w:rPr>
        <w:t>如有问题可与药品上市许可持有人联系</w:t>
      </w:r>
    </w:p>
    <w:p w14:paraId="0CEF118D">
      <w:pPr>
        <w:spacing w:line="270" w:lineRule="auto"/>
        <w:rPr>
          <w:rFonts w:ascii="Arial"/>
          <w:sz w:val="21"/>
        </w:rPr>
      </w:pPr>
    </w:p>
    <w:p w14:paraId="74741F48">
      <w:pPr>
        <w:spacing w:line="271" w:lineRule="auto"/>
        <w:rPr>
          <w:rFonts w:ascii="Arial"/>
          <w:sz w:val="21"/>
        </w:rPr>
      </w:pPr>
    </w:p>
    <w:p w14:paraId="27586A27">
      <w:pPr>
        <w:spacing w:before="62" w:line="323" w:lineRule="auto"/>
        <w:ind w:left="60" w:firstLine="509"/>
        <w:rPr>
          <w:rFonts w:ascii="宋体" w:hAnsi="宋体" w:eastAsia="宋体" w:cs="宋体"/>
          <w:sz w:val="19"/>
          <w:szCs w:val="19"/>
        </w:rPr>
        <w:sectPr>
          <w:footerReference r:id="rId6" w:type="default"/>
          <w:pgSz w:w="11940" w:h="16800"/>
          <w:pgMar w:top="1428" w:right="1350" w:bottom="983" w:left="1639" w:header="0" w:footer="555" w:gutter="0"/>
          <w:cols w:space="720" w:num="1"/>
        </w:sectPr>
      </w:pPr>
      <w:r>
        <w:rPr>
          <w:rFonts w:ascii="宋体" w:hAnsi="宋体" w:eastAsia="宋体" w:cs="宋体"/>
          <w:spacing w:val="22"/>
          <w:sz w:val="19"/>
          <w:szCs w:val="19"/>
        </w:rPr>
        <w:t>(注：本说明书范本原则上不得删减，如原批准说明书的安全性内容较本范</w:t>
      </w:r>
      <w:r>
        <w:rPr>
          <w:rFonts w:ascii="宋体" w:hAnsi="宋体" w:eastAsia="宋体" w:cs="宋体"/>
          <w:spacing w:val="21"/>
          <w:sz w:val="19"/>
          <w:szCs w:val="19"/>
        </w:rPr>
        <w:t>本内容更全面或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6"/>
          <w:sz w:val="19"/>
          <w:szCs w:val="19"/>
        </w:rPr>
        <w:t>者更严格的，应当保留原批准内容</w:t>
      </w:r>
      <w:r>
        <w:rPr>
          <w:rFonts w:ascii="宋体" w:hAnsi="宋体" w:eastAsia="宋体" w:cs="宋体"/>
          <w:color w:val="202050"/>
          <w:spacing w:val="16"/>
          <w:sz w:val="19"/>
          <w:szCs w:val="19"/>
        </w:rPr>
        <w:t>。)</w:t>
      </w:r>
      <w:bookmarkStart w:id="0" w:name="_GoBack"/>
      <w:bookmarkEnd w:id="0"/>
    </w:p>
    <w:p w14:paraId="4843C9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215A2">
    <w:pPr>
      <w:spacing w:before="1" w:line="234" w:lineRule="auto"/>
      <w:ind w:left="34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B6431">
    <w:pPr>
      <w:spacing w:before="1" w:line="233" w:lineRule="auto"/>
      <w:ind w:left="7790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color w:val="505080"/>
        <w:spacing w:val="-4"/>
        <w:sz w:val="33"/>
        <w:szCs w:val="33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5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2025-08-13T02:50:59Z</dcterms:created>
  <dc:creator>Administrator</dc:creator>
  <cp:lastModifiedBy>张永强</cp:lastModifiedBy>
  <dcterms:modified xsi:type="dcterms:W3CDTF">2025-08-13T02:52:00Z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eyJoZGlkIjoiNzdiMjZmNjFkNjNhMDdlN2U0YTczMGU3ZmFhYTkxOTAiLCJ1c2VySWQiOiIxMjA4NTE2Mzc2In0=</vt:lpwstr>
  </property>
  <property fmtid="{D5CDD505-2E9C-101B-9397-08002B2CF9AE}" pid="4" name="ICV">
    <vt:lpwstr>F4259BABE78146FEBF16294400FEE79A_12</vt:lpwstr>
  </property>
</Properties>
</file>